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1778" w:rsidRDefault="00AB0D4E">
      <w:pPr>
        <w:spacing w:after="0" w:line="240" w:lineRule="auto"/>
        <w:jc w:val="right"/>
        <w:rPr>
          <w:rFonts w:eastAsia="Times New Roman" w:cstheme="minorHAnsi"/>
          <w:lang w:eastAsia="ar-SA"/>
        </w:rPr>
      </w:pPr>
      <w:r>
        <w:rPr>
          <w:rFonts w:eastAsia="Times New Roman" w:cstheme="minorHAnsi"/>
          <w:lang w:eastAsia="ar-SA"/>
        </w:rPr>
        <w:t>Предварительно утвержден</w:t>
      </w:r>
    </w:p>
    <w:p w:rsidR="00C81778" w:rsidRDefault="00AB0D4E">
      <w:pPr>
        <w:spacing w:after="0" w:line="240" w:lineRule="auto"/>
        <w:jc w:val="right"/>
        <w:rPr>
          <w:rFonts w:eastAsia="Times New Roman" w:cstheme="minorHAnsi"/>
          <w:lang w:eastAsia="ar-SA"/>
        </w:rPr>
      </w:pPr>
      <w:r>
        <w:rPr>
          <w:rFonts w:eastAsia="Times New Roman" w:cstheme="minorHAnsi"/>
          <w:lang w:eastAsia="ar-SA"/>
        </w:rPr>
        <w:t xml:space="preserve">решением Совета директоров </w:t>
      </w:r>
    </w:p>
    <w:p w:rsidR="00C81778" w:rsidRDefault="00AB0D4E">
      <w:pPr>
        <w:spacing w:after="0" w:line="240" w:lineRule="auto"/>
        <w:jc w:val="right"/>
        <w:rPr>
          <w:rFonts w:eastAsia="Times New Roman" w:cstheme="minorHAnsi"/>
          <w:lang w:eastAsia="ar-SA"/>
        </w:rPr>
      </w:pPr>
      <w:r>
        <w:rPr>
          <w:rFonts w:eastAsia="Times New Roman" w:cstheme="minorHAnsi"/>
          <w:lang w:eastAsia="ar-SA"/>
        </w:rPr>
        <w:t xml:space="preserve">ПАО «ОГК-2» от 17.05.2024 </w:t>
      </w:r>
    </w:p>
    <w:p w:rsidR="00C81778" w:rsidRDefault="003A4AF9">
      <w:pPr>
        <w:spacing w:after="0" w:line="240" w:lineRule="auto"/>
        <w:jc w:val="right"/>
        <w:rPr>
          <w:rFonts w:eastAsia="Times New Roman" w:cstheme="minorHAnsi"/>
          <w:lang w:eastAsia="ar-SA"/>
        </w:rPr>
      </w:pPr>
      <w:r>
        <w:rPr>
          <w:rFonts w:eastAsia="Times New Roman" w:cstheme="minorHAnsi"/>
          <w:lang w:eastAsia="ar-SA"/>
        </w:rPr>
        <w:t xml:space="preserve">(Протокол № </w:t>
      </w:r>
      <w:r w:rsidR="00AB0D4E">
        <w:rPr>
          <w:rFonts w:eastAsia="Times New Roman" w:cstheme="minorHAnsi"/>
          <w:lang w:eastAsia="ar-SA"/>
        </w:rPr>
        <w:t>322 от 17.05.2024)</w:t>
      </w:r>
    </w:p>
    <w:p w:rsidR="00C81778" w:rsidRDefault="00C81778">
      <w:pPr>
        <w:spacing w:after="0" w:line="240" w:lineRule="auto"/>
        <w:jc w:val="right"/>
        <w:rPr>
          <w:rFonts w:eastAsia="Times New Roman" w:cstheme="minorHAnsi"/>
          <w:b/>
          <w:lang w:eastAsia="ar-SA"/>
        </w:rPr>
      </w:pPr>
    </w:p>
    <w:p w:rsidR="00C81778" w:rsidRDefault="00AB0D4E">
      <w:pPr>
        <w:spacing w:after="0" w:line="240" w:lineRule="auto"/>
        <w:jc w:val="right"/>
        <w:rPr>
          <w:rFonts w:eastAsia="Times New Roman" w:cstheme="minorHAnsi"/>
          <w:lang w:eastAsia="ar-SA"/>
        </w:rPr>
      </w:pPr>
      <w:r>
        <w:rPr>
          <w:rFonts w:eastAsia="Times New Roman" w:cstheme="minorHAnsi"/>
          <w:lang w:eastAsia="ar-SA"/>
        </w:rPr>
        <w:t>Утвержден</w:t>
      </w:r>
    </w:p>
    <w:p w:rsidR="00C81778" w:rsidRDefault="00AB0D4E">
      <w:pPr>
        <w:spacing w:after="0" w:line="240" w:lineRule="auto"/>
        <w:jc w:val="right"/>
        <w:rPr>
          <w:rFonts w:eastAsia="Times New Roman" w:cstheme="minorHAnsi"/>
          <w:lang w:eastAsia="ar-SA"/>
        </w:rPr>
      </w:pPr>
      <w:r>
        <w:rPr>
          <w:rFonts w:eastAsia="Times New Roman" w:cstheme="minorHAnsi"/>
          <w:lang w:eastAsia="ar-SA"/>
        </w:rPr>
        <w:t>решением Общего собрания акционеров</w:t>
      </w:r>
    </w:p>
    <w:p w:rsidR="00C81778" w:rsidRDefault="00AB0D4E">
      <w:pPr>
        <w:spacing w:after="0" w:line="240" w:lineRule="auto"/>
        <w:jc w:val="right"/>
        <w:rPr>
          <w:rFonts w:eastAsia="Times New Roman" w:cstheme="minorHAnsi"/>
          <w:lang w:eastAsia="ar-SA"/>
        </w:rPr>
      </w:pPr>
      <w:r>
        <w:rPr>
          <w:rFonts w:eastAsia="Times New Roman" w:cstheme="minorHAnsi"/>
          <w:lang w:eastAsia="ar-SA"/>
        </w:rPr>
        <w:t xml:space="preserve"> ПАО «ОГК-2» от  </w:t>
      </w:r>
      <w:proofErr w:type="gramStart"/>
      <w:r>
        <w:rPr>
          <w:rFonts w:eastAsia="Times New Roman" w:cstheme="minorHAnsi"/>
          <w:lang w:eastAsia="ar-SA"/>
        </w:rPr>
        <w:t xml:space="preserve">  .</w:t>
      </w:r>
      <w:proofErr w:type="gramEnd"/>
      <w:r>
        <w:rPr>
          <w:rFonts w:eastAsia="Times New Roman" w:cstheme="minorHAnsi"/>
          <w:lang w:eastAsia="ar-SA"/>
        </w:rPr>
        <w:t xml:space="preserve">   .2024</w:t>
      </w:r>
    </w:p>
    <w:p w:rsidR="00C81778" w:rsidRDefault="00AB0D4E">
      <w:pPr>
        <w:spacing w:after="0" w:line="240" w:lineRule="auto"/>
        <w:jc w:val="right"/>
        <w:rPr>
          <w:rFonts w:eastAsia="Times New Roman" w:cstheme="minorHAnsi"/>
          <w:lang w:eastAsia="ar-SA"/>
        </w:rPr>
      </w:pPr>
      <w:r>
        <w:rPr>
          <w:rFonts w:eastAsia="Times New Roman" w:cstheme="minorHAnsi"/>
          <w:lang w:eastAsia="ar-SA"/>
        </w:rPr>
        <w:t xml:space="preserve">(Протокол №    от  </w:t>
      </w:r>
      <w:proofErr w:type="gramStart"/>
      <w:r>
        <w:rPr>
          <w:rFonts w:eastAsia="Times New Roman" w:cstheme="minorHAnsi"/>
          <w:lang w:eastAsia="ar-SA"/>
        </w:rPr>
        <w:t xml:space="preserve">  .</w:t>
      </w:r>
      <w:proofErr w:type="gramEnd"/>
      <w:r>
        <w:rPr>
          <w:rFonts w:eastAsia="Times New Roman" w:cstheme="minorHAnsi"/>
          <w:lang w:eastAsia="ar-SA"/>
        </w:rPr>
        <w:t xml:space="preserve">   .2024)</w:t>
      </w:r>
    </w:p>
    <w:p w:rsidR="00C81778" w:rsidRDefault="00C81778">
      <w:pPr>
        <w:spacing w:after="0" w:line="240" w:lineRule="auto"/>
        <w:jc w:val="center"/>
        <w:rPr>
          <w:rFonts w:eastAsia="Times New Roman" w:cstheme="minorHAnsi"/>
          <w:lang w:eastAsia="ar-SA"/>
        </w:rPr>
      </w:pPr>
    </w:p>
    <w:p w:rsidR="00C81778" w:rsidRDefault="00C81778">
      <w:pPr>
        <w:spacing w:after="0" w:line="240" w:lineRule="auto"/>
        <w:jc w:val="center"/>
        <w:rPr>
          <w:rFonts w:eastAsia="Times New Roman" w:cstheme="minorHAnsi"/>
          <w:b/>
          <w:lang w:eastAsia="ar-SA"/>
        </w:rPr>
      </w:pPr>
    </w:p>
    <w:p w:rsidR="00C81778" w:rsidRDefault="00C81778">
      <w:pPr>
        <w:spacing w:after="0" w:line="240" w:lineRule="auto"/>
        <w:jc w:val="center"/>
        <w:rPr>
          <w:rFonts w:eastAsia="Times New Roman" w:cstheme="minorHAnsi"/>
          <w:b/>
          <w:lang w:eastAsia="ar-SA"/>
        </w:rPr>
      </w:pPr>
    </w:p>
    <w:p w:rsidR="00C81778" w:rsidRDefault="00C81778">
      <w:pPr>
        <w:spacing w:after="0" w:line="240" w:lineRule="auto"/>
        <w:jc w:val="center"/>
        <w:rPr>
          <w:rFonts w:eastAsia="Times New Roman" w:cstheme="minorHAnsi"/>
          <w:b/>
          <w:lang w:eastAsia="ar-SA"/>
        </w:rPr>
      </w:pPr>
    </w:p>
    <w:p w:rsidR="00C81778" w:rsidRDefault="00C81778">
      <w:pPr>
        <w:spacing w:after="0" w:line="240" w:lineRule="auto"/>
        <w:jc w:val="center"/>
        <w:rPr>
          <w:rFonts w:eastAsia="Times New Roman" w:cstheme="minorHAnsi"/>
          <w:b/>
          <w:lang w:eastAsia="ar-SA"/>
        </w:rPr>
      </w:pPr>
    </w:p>
    <w:p w:rsidR="00C81778" w:rsidRDefault="00C81778">
      <w:pPr>
        <w:spacing w:after="0" w:line="240" w:lineRule="auto"/>
        <w:jc w:val="center"/>
        <w:rPr>
          <w:rFonts w:eastAsia="Times New Roman" w:cstheme="minorHAnsi"/>
          <w:b/>
          <w:lang w:eastAsia="ar-SA"/>
        </w:rPr>
      </w:pPr>
    </w:p>
    <w:p w:rsidR="00C81778" w:rsidRDefault="00C81778">
      <w:pPr>
        <w:spacing w:after="0" w:line="240" w:lineRule="auto"/>
        <w:jc w:val="center"/>
        <w:rPr>
          <w:rFonts w:eastAsia="Times New Roman" w:cstheme="minorHAnsi"/>
          <w:b/>
          <w:lang w:eastAsia="ar-SA"/>
        </w:rPr>
      </w:pPr>
    </w:p>
    <w:p w:rsidR="00C81778" w:rsidRDefault="00AB0D4E">
      <w:pPr>
        <w:spacing w:after="0" w:line="240" w:lineRule="auto"/>
        <w:jc w:val="center"/>
        <w:rPr>
          <w:rFonts w:eastAsia="Times New Roman" w:cstheme="minorHAnsi"/>
          <w:b/>
          <w:sz w:val="72"/>
          <w:szCs w:val="72"/>
          <w:lang w:eastAsia="ar-SA"/>
        </w:rPr>
      </w:pPr>
      <w:r>
        <w:rPr>
          <w:rFonts w:eastAsia="Times New Roman" w:cstheme="minorHAnsi"/>
          <w:b/>
          <w:sz w:val="72"/>
          <w:szCs w:val="72"/>
          <w:lang w:eastAsia="ar-SA"/>
        </w:rPr>
        <w:t>Годовой отчет</w:t>
      </w:r>
    </w:p>
    <w:p w:rsidR="00C81778" w:rsidRDefault="00AB0D4E">
      <w:pPr>
        <w:spacing w:after="0" w:line="240" w:lineRule="auto"/>
        <w:jc w:val="center"/>
        <w:rPr>
          <w:rFonts w:eastAsia="Times New Roman" w:cstheme="minorHAnsi"/>
          <w:sz w:val="72"/>
          <w:szCs w:val="72"/>
          <w:lang w:eastAsia="ar-SA"/>
        </w:rPr>
      </w:pPr>
      <w:r>
        <w:rPr>
          <w:rFonts w:eastAsia="Times New Roman" w:cstheme="minorHAnsi"/>
          <w:sz w:val="72"/>
          <w:szCs w:val="72"/>
          <w:lang w:eastAsia="ar-SA"/>
        </w:rPr>
        <w:t>ПАО «ОГК-2»</w:t>
      </w:r>
    </w:p>
    <w:p w:rsidR="00C81778" w:rsidRDefault="00AB0D4E">
      <w:pPr>
        <w:spacing w:after="0" w:line="240" w:lineRule="auto"/>
        <w:jc w:val="center"/>
        <w:rPr>
          <w:rFonts w:eastAsia="Times New Roman" w:cstheme="minorHAnsi"/>
          <w:sz w:val="72"/>
          <w:szCs w:val="72"/>
          <w:lang w:eastAsia="ar-SA"/>
        </w:rPr>
      </w:pPr>
      <w:r>
        <w:rPr>
          <w:rFonts w:eastAsia="Times New Roman" w:cstheme="minorHAnsi"/>
          <w:sz w:val="72"/>
          <w:szCs w:val="72"/>
          <w:lang w:eastAsia="ar-SA"/>
        </w:rPr>
        <w:t>за 2023 год</w:t>
      </w: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rPr>
          <w:rFonts w:eastAsia="Times New Roman" w:cstheme="minorHAnsi"/>
          <w:lang w:eastAsia="ar-SA"/>
        </w:rPr>
      </w:pPr>
    </w:p>
    <w:p w:rsidR="00C81778" w:rsidRDefault="00C81778">
      <w:pPr>
        <w:spacing w:after="0" w:line="240" w:lineRule="auto"/>
        <w:jc w:val="center"/>
        <w:rPr>
          <w:rFonts w:eastAsia="Times New Roman" w:cstheme="minorHAnsi"/>
          <w:lang w:eastAsia="ar-SA"/>
        </w:rPr>
      </w:pPr>
    </w:p>
    <w:p w:rsidR="00C81778" w:rsidRDefault="00C81778">
      <w:pPr>
        <w:rPr>
          <w:rFonts w:eastAsia="Times New Roman" w:cstheme="minorHAnsi"/>
          <w:lang w:eastAsia="ar-SA"/>
        </w:rPr>
      </w:pPr>
    </w:p>
    <w:sdt>
      <w:sdtPr>
        <w:rPr>
          <w:rFonts w:asciiTheme="minorHAnsi" w:eastAsiaTheme="minorHAnsi" w:hAnsiTheme="minorHAnsi" w:cstheme="minorBidi"/>
          <w:b w:val="0"/>
          <w:bCs w:val="0"/>
          <w:caps w:val="0"/>
          <w:color w:val="auto"/>
          <w:sz w:val="22"/>
          <w:szCs w:val="22"/>
          <w:lang w:eastAsia="en-US"/>
        </w:rPr>
        <w:id w:val="987833066"/>
        <w:docPartObj>
          <w:docPartGallery w:val="Table of Contents"/>
          <w:docPartUnique/>
        </w:docPartObj>
      </w:sdtPr>
      <w:sdtEndPr/>
      <w:sdtContent>
        <w:p w:rsidR="00C81778" w:rsidRDefault="00AB0D4E">
          <w:pPr>
            <w:pStyle w:val="affffff6"/>
            <w:spacing w:before="0"/>
            <w:rPr>
              <w:rFonts w:asciiTheme="minorHAnsi" w:hAnsiTheme="minorHAnsi" w:cstheme="minorHAnsi"/>
              <w:sz w:val="22"/>
              <w:szCs w:val="22"/>
            </w:rPr>
          </w:pPr>
          <w:r>
            <w:br w:type="page" w:clear="all"/>
          </w:r>
          <w:r>
            <w:rPr>
              <w:rFonts w:asciiTheme="minorHAnsi" w:hAnsiTheme="minorHAnsi" w:cstheme="minorHAnsi"/>
              <w:sz w:val="22"/>
              <w:szCs w:val="22"/>
            </w:rPr>
            <w:lastRenderedPageBreak/>
            <w:t>Оглавление</w:t>
          </w:r>
        </w:p>
        <w:p w:rsidR="00C81778" w:rsidRDefault="00AB0D4E">
          <w:pPr>
            <w:pStyle w:val="1f3"/>
            <w:rPr>
              <w:rFonts w:eastAsiaTheme="minorEastAsia"/>
            </w:rPr>
          </w:pPr>
          <w:r>
            <w:fldChar w:fldCharType="begin"/>
          </w:r>
          <w:r>
            <w:rPr>
              <w:rStyle w:val="affff0"/>
            </w:rPr>
            <w:instrText xml:space="preserve"> TOC \z \o "1-2" \u \h</w:instrText>
          </w:r>
          <w:r>
            <w:rPr>
              <w:rStyle w:val="affff0"/>
            </w:rPr>
            <w:fldChar w:fldCharType="separate"/>
          </w:r>
          <w:hyperlink w:anchor="_Toc131707815" w:tooltip="#_Toc131707815" w:history="1">
            <w:r>
              <w:fldChar w:fldCharType="begin"/>
            </w:r>
            <w:r>
              <w:instrText>PAGEREF _Toc131707815 \h</w:instrText>
            </w:r>
            <w:r>
              <w:fldChar w:fldCharType="separate"/>
            </w:r>
            <w:r>
              <w:rPr>
                <w:rStyle w:val="affff0"/>
              </w:rPr>
              <w:t>1. Информация о Компании</w:t>
            </w:r>
            <w:r>
              <w:rPr>
                <w:rStyle w:val="affff0"/>
              </w:rPr>
              <w:tab/>
              <w:t xml:space="preserve">   3</w:t>
            </w:r>
            <w:r>
              <w:fldChar w:fldCharType="end"/>
            </w:r>
          </w:hyperlink>
        </w:p>
        <w:p w:rsidR="00C81778" w:rsidRDefault="000F711E">
          <w:pPr>
            <w:pStyle w:val="2f1"/>
            <w:ind w:right="-1"/>
            <w:rPr>
              <w:rFonts w:eastAsiaTheme="minorEastAsia" w:cstheme="minorHAnsi"/>
              <w:lang w:eastAsia="ru-RU"/>
            </w:rPr>
          </w:pPr>
          <w:hyperlink w:anchor="_Toc131707816" w:tooltip="#_Toc131707816" w:history="1">
            <w:r w:rsidR="00AB0D4E">
              <w:rPr>
                <w:rStyle w:val="affff0"/>
                <w:rFonts w:eastAsiaTheme="majorEastAsia" w:cstheme="minorHAnsi"/>
              </w:rPr>
              <w:t xml:space="preserve">1.1. Меморандум о намерениях ПАО «Газпром» в отношении ПАО «Мосэнерго», </w:t>
            </w:r>
            <w:r w:rsidR="00AB0D4E">
              <w:rPr>
                <w:rStyle w:val="affff0"/>
                <w:rFonts w:eastAsiaTheme="majorEastAsia" w:cstheme="minorHAnsi"/>
              </w:rPr>
              <w:br w:type="textWrapping" w:clear="all"/>
              <w:t>ПАО «МОЭК», ПАО «ОГК-2», ПАО «ТГК-1»</w:t>
            </w:r>
            <w:r w:rsidR="00AB0D4E">
              <w:fldChar w:fldCharType="begin"/>
            </w:r>
            <w:r w:rsidR="00AB0D4E">
              <w:instrText>PAGEREF _Toc131707816 \h</w:instrText>
            </w:r>
            <w:r w:rsidR="00AB0D4E">
              <w:fldChar w:fldCharType="separate"/>
            </w:r>
            <w:r w:rsidR="00AB0D4E">
              <w:rPr>
                <w:rStyle w:val="affff0"/>
                <w:rFonts w:cstheme="minorHAnsi"/>
              </w:rPr>
              <w:tab/>
              <w:t>3</w:t>
            </w:r>
            <w:r w:rsidR="00AB0D4E">
              <w:fldChar w:fldCharType="end"/>
            </w:r>
          </w:hyperlink>
        </w:p>
        <w:p w:rsidR="00C81778" w:rsidRDefault="000F711E">
          <w:pPr>
            <w:pStyle w:val="2f1"/>
            <w:ind w:right="-1"/>
            <w:rPr>
              <w:rFonts w:eastAsiaTheme="minorEastAsia" w:cstheme="minorHAnsi"/>
              <w:lang w:eastAsia="ru-RU"/>
            </w:rPr>
          </w:pPr>
          <w:hyperlink w:anchor="_Toc131707817" w:tooltip="#_Toc131707817" w:history="1">
            <w:r w:rsidR="00AB0D4E">
              <w:rPr>
                <w:rStyle w:val="affff0"/>
                <w:rFonts w:eastAsiaTheme="majorEastAsia" w:cstheme="minorHAnsi"/>
              </w:rPr>
              <w:t>1.2. Профиль ПАО «ОГК-2»</w:t>
            </w:r>
            <w:r w:rsidR="00AB0D4E">
              <w:fldChar w:fldCharType="begin"/>
            </w:r>
            <w:r w:rsidR="00AB0D4E">
              <w:instrText>PAGEREF _Toc131707817 \h</w:instrText>
            </w:r>
            <w:r w:rsidR="00AB0D4E">
              <w:fldChar w:fldCharType="separate"/>
            </w:r>
            <w:r w:rsidR="00AB0D4E">
              <w:rPr>
                <w:rStyle w:val="affff0"/>
                <w:rFonts w:cstheme="minorHAnsi"/>
              </w:rPr>
              <w:tab/>
              <w:t>3</w:t>
            </w:r>
            <w:r w:rsidR="00AB0D4E">
              <w:fldChar w:fldCharType="end"/>
            </w:r>
          </w:hyperlink>
        </w:p>
        <w:p w:rsidR="00C81778" w:rsidRDefault="000F711E">
          <w:pPr>
            <w:pStyle w:val="1f3"/>
            <w:rPr>
              <w:rFonts w:eastAsiaTheme="minorEastAsia"/>
            </w:rPr>
          </w:pPr>
          <w:hyperlink w:anchor="_Toc131707818" w:tooltip="#_Toc131707818" w:history="1">
            <w:r w:rsidR="00AB0D4E">
              <w:rPr>
                <w:rStyle w:val="affff0"/>
              </w:rPr>
              <w:t xml:space="preserve">2. Операционная деятельность Компании                                                                                                     </w:t>
            </w:r>
            <w:r w:rsidR="00AB0D4E">
              <w:rPr>
                <w:rStyle w:val="affff0"/>
                <w:lang w:val="en-US"/>
              </w:rPr>
              <w:t xml:space="preserve">  </w:t>
            </w:r>
            <w:r w:rsidR="00AB0D4E">
              <w:fldChar w:fldCharType="begin"/>
            </w:r>
            <w:r w:rsidR="00AB0D4E">
              <w:instrText>PAGEREF _Toc131707818 \h</w:instrText>
            </w:r>
            <w:r w:rsidR="00AB0D4E">
              <w:fldChar w:fldCharType="separate"/>
            </w:r>
            <w:r w:rsidR="00AB0D4E">
              <w:rPr>
                <w:rStyle w:val="affff0"/>
              </w:rPr>
              <w:t xml:space="preserve"> 10</w:t>
            </w:r>
            <w:r w:rsidR="00AB0D4E">
              <w:fldChar w:fldCharType="end"/>
            </w:r>
          </w:hyperlink>
        </w:p>
        <w:p w:rsidR="00C81778" w:rsidRDefault="000F711E">
          <w:pPr>
            <w:pStyle w:val="2f1"/>
            <w:ind w:right="-1"/>
            <w:rPr>
              <w:rFonts w:eastAsiaTheme="minorEastAsia" w:cstheme="minorHAnsi"/>
              <w:lang w:eastAsia="ru-RU"/>
            </w:rPr>
          </w:pPr>
          <w:hyperlink w:anchor="_Toc131707819" w:tooltip="#_Toc131707819" w:history="1">
            <w:r w:rsidR="00AB0D4E">
              <w:rPr>
                <w:rStyle w:val="affff0"/>
                <w:rFonts w:eastAsiaTheme="majorEastAsia" w:cstheme="minorHAnsi"/>
              </w:rPr>
              <w:t>2.1. Основные показатели производственной и сбытовой деятельности Компании</w:t>
            </w:r>
            <w:r w:rsidR="00AB0D4E">
              <w:fldChar w:fldCharType="begin"/>
            </w:r>
            <w:r w:rsidR="00AB0D4E">
              <w:instrText>PAGEREF _Toc131707819 \h</w:instrText>
            </w:r>
            <w:r w:rsidR="00AB0D4E">
              <w:fldChar w:fldCharType="separate"/>
            </w:r>
            <w:r w:rsidR="00AB0D4E">
              <w:rPr>
                <w:rStyle w:val="affff0"/>
                <w:rFonts w:cstheme="minorHAnsi"/>
              </w:rPr>
              <w:tab/>
              <w:t>10</w:t>
            </w:r>
            <w:r w:rsidR="00AB0D4E">
              <w:fldChar w:fldCharType="end"/>
            </w:r>
          </w:hyperlink>
        </w:p>
        <w:p w:rsidR="00C81778" w:rsidRPr="000F711E" w:rsidRDefault="000F711E">
          <w:pPr>
            <w:pStyle w:val="2f1"/>
            <w:ind w:right="-1"/>
            <w:rPr>
              <w:rFonts w:eastAsiaTheme="minorEastAsia" w:cstheme="minorHAnsi"/>
              <w:lang w:eastAsia="ru-RU"/>
            </w:rPr>
          </w:pPr>
          <w:hyperlink w:anchor="_Toc131707821" w:tooltip="#_Toc131707821" w:history="1">
            <w:r w:rsidR="00AB0D4E" w:rsidRPr="000F711E">
              <w:rPr>
                <w:rStyle w:val="affff0"/>
                <w:rFonts w:eastAsiaTheme="majorEastAsia" w:cstheme="minorHAnsi"/>
              </w:rPr>
              <w:t>2.3. Политика Компании в области окружающей среды и социальная политика</w:t>
            </w:r>
            <w:r w:rsidR="00AB0D4E" w:rsidRPr="000F711E">
              <w:rPr>
                <w:rStyle w:val="affff0"/>
                <w:rFonts w:cstheme="minorHAnsi"/>
              </w:rPr>
              <w:tab/>
              <w:t>1</w:t>
            </w:r>
          </w:hyperlink>
          <w:r w:rsidR="00AB0D4E" w:rsidRPr="000F711E">
            <w:rPr>
              <w:rFonts w:cstheme="minorHAnsi"/>
            </w:rPr>
            <w:t>2</w:t>
          </w:r>
        </w:p>
        <w:p w:rsidR="00C81778" w:rsidRPr="000F711E" w:rsidRDefault="000F711E">
          <w:pPr>
            <w:pStyle w:val="1f3"/>
            <w:rPr>
              <w:rFonts w:eastAsiaTheme="minorEastAsia"/>
            </w:rPr>
          </w:pPr>
          <w:hyperlink w:anchor="_Toc131707822" w:tooltip="#_Toc131707822" w:history="1">
            <w:r w:rsidR="00AB0D4E" w:rsidRPr="000F711E">
              <w:rPr>
                <w:rStyle w:val="affff0"/>
              </w:rPr>
              <w:t>3. Управление рисками и внутренний контроль</w:t>
            </w:r>
            <w:r w:rsidR="00AB0D4E" w:rsidRPr="000F711E">
              <w:rPr>
                <w:rStyle w:val="affff0"/>
              </w:rPr>
              <w:tab/>
              <w:t xml:space="preserve"> 1</w:t>
            </w:r>
          </w:hyperlink>
          <w:r w:rsidR="00AB0D4E" w:rsidRPr="000F711E">
            <w:t>3</w:t>
          </w:r>
        </w:p>
        <w:p w:rsidR="00C81778" w:rsidRPr="000F711E" w:rsidRDefault="000F711E">
          <w:pPr>
            <w:pStyle w:val="1f3"/>
            <w:rPr>
              <w:rFonts w:eastAsiaTheme="minorEastAsia"/>
            </w:rPr>
          </w:pPr>
          <w:hyperlink w:anchor="_Toc131707823" w:tooltip="#_Toc131707823" w:history="1">
            <w:r w:rsidR="00AB0D4E" w:rsidRPr="000F711E">
              <w:rPr>
                <w:rStyle w:val="affff0"/>
              </w:rPr>
              <w:t>4. Корпоративное управление</w:t>
            </w:r>
            <w:r w:rsidR="00AB0D4E" w:rsidRPr="000F711E">
              <w:rPr>
                <w:rStyle w:val="affff0"/>
              </w:rPr>
              <w:tab/>
              <w:t xml:space="preserve"> 1</w:t>
            </w:r>
          </w:hyperlink>
          <w:r w:rsidR="00AB0D4E" w:rsidRPr="000F711E">
            <w:t>4</w:t>
          </w:r>
        </w:p>
        <w:p w:rsidR="00C81778" w:rsidRPr="000F711E" w:rsidRDefault="000F711E">
          <w:pPr>
            <w:pStyle w:val="2f1"/>
            <w:ind w:right="-1"/>
            <w:rPr>
              <w:rFonts w:eastAsiaTheme="minorEastAsia" w:cstheme="minorHAnsi"/>
              <w:lang w:eastAsia="ru-RU"/>
            </w:rPr>
          </w:pPr>
          <w:hyperlink w:anchor="_Toc131707824" w:tooltip="#_Toc131707824" w:history="1">
            <w:r w:rsidR="00AB0D4E" w:rsidRPr="000F711E">
              <w:rPr>
                <w:rStyle w:val="affff0"/>
                <w:rFonts w:eastAsiaTheme="majorEastAsia" w:cstheme="minorHAnsi"/>
              </w:rPr>
              <w:t>4.1. Основные принципы и структура корпоративного управления</w:t>
            </w:r>
            <w:r w:rsidR="00AB0D4E" w:rsidRPr="000F711E">
              <w:rPr>
                <w:rStyle w:val="affff0"/>
                <w:rFonts w:cstheme="minorHAnsi"/>
              </w:rPr>
              <w:tab/>
              <w:t>1</w:t>
            </w:r>
          </w:hyperlink>
          <w:r w:rsidR="00AB0D4E" w:rsidRPr="000F711E">
            <w:rPr>
              <w:rFonts w:cstheme="minorHAnsi"/>
            </w:rPr>
            <w:t>4</w:t>
          </w:r>
        </w:p>
        <w:p w:rsidR="00C81778" w:rsidRPr="000F711E" w:rsidRDefault="000F711E">
          <w:pPr>
            <w:pStyle w:val="2f1"/>
            <w:ind w:right="-1"/>
            <w:rPr>
              <w:rFonts w:eastAsiaTheme="minorEastAsia" w:cstheme="minorHAnsi"/>
              <w:lang w:eastAsia="ru-RU"/>
            </w:rPr>
          </w:pPr>
          <w:hyperlink w:anchor="_Toc131707825" w:tooltip="#_Toc131707825" w:history="1">
            <w:r w:rsidR="00AB0D4E" w:rsidRPr="000F711E">
              <w:rPr>
                <w:rStyle w:val="affff0"/>
                <w:rFonts w:eastAsiaTheme="majorEastAsia" w:cstheme="minorHAnsi"/>
              </w:rPr>
              <w:t>4.2. Отчет о соблюдении принципов и рекомендаций Кодекса корпоративного управления</w:t>
            </w:r>
            <w:r w:rsidR="00AB0D4E" w:rsidRPr="000F711E">
              <w:rPr>
                <w:rStyle w:val="affff0"/>
                <w:rFonts w:cstheme="minorHAnsi"/>
              </w:rPr>
              <w:tab/>
              <w:t>2</w:t>
            </w:r>
          </w:hyperlink>
          <w:r w:rsidR="00AB0D4E" w:rsidRPr="000F711E">
            <w:rPr>
              <w:rFonts w:cstheme="minorHAnsi"/>
            </w:rPr>
            <w:t>3</w:t>
          </w:r>
        </w:p>
        <w:p w:rsidR="00C81778" w:rsidRPr="000F711E" w:rsidRDefault="000F711E">
          <w:pPr>
            <w:pStyle w:val="1f3"/>
            <w:rPr>
              <w:rFonts w:eastAsiaTheme="minorEastAsia"/>
            </w:rPr>
          </w:pPr>
          <w:hyperlink w:anchor="_Toc131707826" w:tooltip="#_Toc131707826" w:history="1">
            <w:r w:rsidR="00AB0D4E" w:rsidRPr="000F711E">
              <w:fldChar w:fldCharType="begin"/>
            </w:r>
            <w:r w:rsidR="00AB0D4E" w:rsidRPr="000F711E">
              <w:instrText>PAGEREF _Toc131707826 \h</w:instrText>
            </w:r>
            <w:r w:rsidR="00AB0D4E" w:rsidRPr="000F711E">
              <w:fldChar w:fldCharType="separate"/>
            </w:r>
            <w:r w:rsidR="00AB0D4E" w:rsidRPr="000F711E">
              <w:rPr>
                <w:rStyle w:val="affff0"/>
              </w:rPr>
              <w:t>5. Приложения</w:t>
            </w:r>
            <w:r w:rsidR="00AB0D4E" w:rsidRPr="000F711E">
              <w:rPr>
                <w:rStyle w:val="affff0"/>
              </w:rPr>
              <w:tab/>
              <w:t>8</w:t>
            </w:r>
            <w:r w:rsidRPr="000F711E">
              <w:rPr>
                <w:rStyle w:val="affff0"/>
              </w:rPr>
              <w:t>2</w:t>
            </w:r>
            <w:r w:rsidR="00AB0D4E" w:rsidRPr="000F711E">
              <w:fldChar w:fldCharType="end"/>
            </w:r>
          </w:hyperlink>
        </w:p>
        <w:p w:rsidR="00C81778" w:rsidRPr="000F711E" w:rsidRDefault="000F711E">
          <w:pPr>
            <w:pStyle w:val="1f3"/>
            <w:jc w:val="left"/>
          </w:pPr>
          <w:hyperlink w:anchor="_Toc131707827" w:tooltip="#_Toc131707827" w:history="1">
            <w:r w:rsidR="00AB0D4E" w:rsidRPr="000F711E">
              <w:rPr>
                <w:rStyle w:val="affff0"/>
              </w:rPr>
              <w:t xml:space="preserve">6. Полезные ссылки                                                                                                                                               </w:t>
            </w:r>
          </w:hyperlink>
          <w:r w:rsidR="00AB0D4E" w:rsidRPr="000F711E">
            <w:t xml:space="preserve">  8</w:t>
          </w:r>
          <w:r w:rsidRPr="000F711E">
            <w:t>2</w:t>
          </w:r>
        </w:p>
        <w:p w:rsidR="00C81778" w:rsidRDefault="000F711E">
          <w:pPr>
            <w:pStyle w:val="1f3"/>
            <w:jc w:val="left"/>
            <w:rPr>
              <w:rFonts w:eastAsiaTheme="minorEastAsia"/>
            </w:rPr>
          </w:pPr>
          <w:hyperlink w:anchor="_Toc131707828" w:tooltip="#_Toc131707828" w:history="1">
            <w:r w:rsidR="00AB0D4E" w:rsidRPr="000F711E">
              <w:rPr>
                <w:rStyle w:val="affff0"/>
              </w:rPr>
              <w:t xml:space="preserve">7. Глоссарий и контакты                                                                                                                                       </w:t>
            </w:r>
          </w:hyperlink>
          <w:r w:rsidR="00AB0D4E" w:rsidRPr="000F711E">
            <w:t xml:space="preserve">  8</w:t>
          </w:r>
          <w:r w:rsidRPr="000F711E">
            <w:t>2</w:t>
          </w:r>
        </w:p>
        <w:p w:rsidR="00C81778" w:rsidRDefault="00AB0D4E">
          <w:pPr>
            <w:spacing w:before="120" w:after="120" w:line="240" w:lineRule="auto"/>
            <w:rPr>
              <w:rFonts w:cstheme="minorHAnsi"/>
            </w:rPr>
          </w:pPr>
          <w:r>
            <w:rPr>
              <w:rFonts w:cs="Calibri"/>
            </w:rPr>
            <w:fldChar w:fldCharType="end"/>
          </w:r>
        </w:p>
      </w:sdtContent>
    </w:sdt>
    <w:p w:rsidR="00C81778" w:rsidRDefault="00C81778">
      <w:pPr>
        <w:rPr>
          <w:rFonts w:cstheme="minorHAnsi"/>
        </w:rPr>
      </w:pPr>
    </w:p>
    <w:p w:rsidR="00C81778" w:rsidRDefault="00AB0D4E">
      <w:pPr>
        <w:rPr>
          <w:rFonts w:eastAsiaTheme="majorEastAsia" w:cstheme="minorHAnsi"/>
          <w:color w:val="2F5496" w:themeColor="accent1" w:themeShade="BF"/>
          <w:lang w:val="en-US" w:eastAsia="ru-RU"/>
        </w:rPr>
      </w:pPr>
      <w:r>
        <w:br w:type="page" w:clear="all"/>
      </w:r>
      <w:bookmarkStart w:id="0" w:name="_GoBack"/>
      <w:bookmarkEnd w:id="0"/>
    </w:p>
    <w:p w:rsidR="00C81778" w:rsidRDefault="00AB0D4E">
      <w:pPr>
        <w:pStyle w:val="1"/>
        <w:keepLines/>
        <w:spacing w:before="0" w:after="0" w:line="276" w:lineRule="auto"/>
        <w:jc w:val="left"/>
        <w:rPr>
          <w:rFonts w:asciiTheme="minorHAnsi" w:eastAsiaTheme="majorEastAsia" w:hAnsiTheme="minorHAnsi" w:cstheme="minorHAnsi"/>
          <w:color w:val="2F5496" w:themeColor="accent1" w:themeShade="BF"/>
          <w:sz w:val="22"/>
          <w:szCs w:val="22"/>
          <w:lang w:val="ru-RU" w:eastAsia="ru-RU"/>
        </w:rPr>
      </w:pPr>
      <w:bookmarkStart w:id="1" w:name="_Toc131707815"/>
      <w:r>
        <w:rPr>
          <w:rFonts w:asciiTheme="minorHAnsi" w:eastAsiaTheme="majorEastAsia" w:hAnsiTheme="minorHAnsi" w:cstheme="minorHAnsi"/>
          <w:color w:val="2F5496" w:themeColor="accent1" w:themeShade="BF"/>
          <w:sz w:val="22"/>
          <w:szCs w:val="22"/>
          <w:lang w:val="ru-RU" w:eastAsia="ru-RU"/>
        </w:rPr>
        <w:lastRenderedPageBreak/>
        <w:t>1. Информация о Компании</w:t>
      </w:r>
      <w:bookmarkEnd w:id="1"/>
    </w:p>
    <w:p w:rsidR="00C81778" w:rsidRDefault="00C81778">
      <w:pPr>
        <w:pStyle w:val="a2"/>
        <w:rPr>
          <w:rFonts w:asciiTheme="minorHAnsi" w:eastAsiaTheme="majorEastAsia" w:hAnsiTheme="minorHAnsi" w:cstheme="minorHAnsi"/>
          <w:sz w:val="22"/>
          <w:szCs w:val="22"/>
        </w:rPr>
      </w:pPr>
    </w:p>
    <w:p w:rsidR="00C81778" w:rsidRDefault="00AB0D4E">
      <w:pPr>
        <w:pStyle w:val="21"/>
        <w:keepLines/>
        <w:spacing w:before="120" w:after="0"/>
        <w:rPr>
          <w:rFonts w:asciiTheme="minorHAnsi" w:eastAsiaTheme="majorEastAsia" w:hAnsiTheme="minorHAnsi" w:cstheme="minorHAnsi"/>
          <w:color w:val="2F5496" w:themeColor="accent1" w:themeShade="BF"/>
          <w:sz w:val="22"/>
          <w:szCs w:val="22"/>
        </w:rPr>
      </w:pPr>
      <w:bookmarkStart w:id="2" w:name="_Toc104992555"/>
      <w:bookmarkStart w:id="3" w:name="_Toc71644554"/>
      <w:bookmarkStart w:id="4" w:name="_Toc131707816"/>
      <w:r>
        <w:rPr>
          <w:rFonts w:asciiTheme="minorHAnsi" w:eastAsiaTheme="majorEastAsia" w:hAnsiTheme="minorHAnsi" w:cstheme="minorHAnsi"/>
          <w:color w:val="2F5496" w:themeColor="accent1" w:themeShade="BF"/>
          <w:sz w:val="22"/>
          <w:szCs w:val="22"/>
        </w:rPr>
        <w:t>1.1. Меморандум о намерениях ПАО «Газпром»</w:t>
      </w:r>
      <w:bookmarkEnd w:id="2"/>
      <w:bookmarkEnd w:id="3"/>
      <w:r>
        <w:rPr>
          <w:rFonts w:asciiTheme="minorHAnsi" w:eastAsiaTheme="majorEastAsia" w:hAnsiTheme="minorHAnsi" w:cstheme="minorHAnsi"/>
          <w:color w:val="2F5496" w:themeColor="accent1" w:themeShade="BF"/>
          <w:sz w:val="22"/>
          <w:szCs w:val="22"/>
        </w:rPr>
        <w:t xml:space="preserve"> в отношении ПАО «Мосэнерго», ПАО «МОЭК», ПАО «ОГК-2», ПАО «ТГК-1»</w:t>
      </w:r>
      <w:bookmarkEnd w:id="4"/>
    </w:p>
    <w:p w:rsidR="00C81778" w:rsidRDefault="00AB0D4E">
      <w:pPr>
        <w:spacing w:before="120" w:after="0" w:line="240" w:lineRule="auto"/>
        <w:jc w:val="both"/>
        <w:rPr>
          <w:rFonts w:eastAsia="Calibri" w:cstheme="minorHAnsi"/>
          <w:color w:val="000000"/>
        </w:rPr>
      </w:pPr>
      <w:r>
        <w:rPr>
          <w:rFonts w:eastAsia="Calibri" w:cstheme="minorHAnsi"/>
          <w:color w:val="000000"/>
        </w:rPr>
        <w:t xml:space="preserve">Электроэнергетика – стратегически важная область деятельности Группы Газпром. В структуре ПАО «Газпром» создан крупнейший в России вертикально интегрированный электроэнергетический холдинг, объединяющий активы в сфере производства электрической и тепловой энергии, передачи и реализации тепловой энергии, а также активы в смежных сегментах. </w:t>
      </w:r>
    </w:p>
    <w:p w:rsidR="00C81778" w:rsidRDefault="00AB0D4E">
      <w:pPr>
        <w:spacing w:before="120" w:after="0" w:line="240" w:lineRule="auto"/>
        <w:jc w:val="both"/>
        <w:rPr>
          <w:rFonts w:eastAsia="Calibri" w:cstheme="minorHAnsi"/>
          <w:color w:val="000000"/>
        </w:rPr>
      </w:pPr>
      <w:r>
        <w:rPr>
          <w:rFonts w:eastAsia="Calibri" w:cstheme="minorHAnsi"/>
          <w:color w:val="000000"/>
        </w:rPr>
        <w:t xml:space="preserve">Электроэнергетические активы консолидированы в 100%-ном дочернем обществе ООО «Газпром </w:t>
      </w:r>
      <w:proofErr w:type="spellStart"/>
      <w:r>
        <w:rPr>
          <w:rFonts w:eastAsia="Calibri" w:cstheme="minorHAnsi"/>
          <w:color w:val="000000"/>
        </w:rPr>
        <w:t>энергохолдинг</w:t>
      </w:r>
      <w:proofErr w:type="spellEnd"/>
      <w:r>
        <w:rPr>
          <w:rFonts w:eastAsia="Calibri" w:cstheme="minorHAnsi"/>
          <w:color w:val="000000"/>
        </w:rPr>
        <w:t>», которому принадлежат контрольные пакеты акций компаний ПАО «Мосэнерго», ПАО «ТГК-1» и ПАО «МОЭК». Контрольный пакет акций ПАО «ОГК-2» принадлежит ПАО «</w:t>
      </w:r>
      <w:proofErr w:type="spellStart"/>
      <w:r>
        <w:rPr>
          <w:rFonts w:eastAsia="Calibri" w:cstheme="minorHAnsi"/>
          <w:color w:val="000000"/>
        </w:rPr>
        <w:t>Центрэнергохолдинг</w:t>
      </w:r>
      <w:proofErr w:type="spellEnd"/>
      <w:r>
        <w:rPr>
          <w:rFonts w:eastAsia="Calibri" w:cstheme="minorHAnsi"/>
          <w:color w:val="000000"/>
        </w:rPr>
        <w:t xml:space="preserve">» – дочерней компании ООО «Газпром </w:t>
      </w:r>
      <w:proofErr w:type="spellStart"/>
      <w:r>
        <w:rPr>
          <w:rFonts w:eastAsia="Calibri" w:cstheme="minorHAnsi"/>
          <w:color w:val="000000"/>
        </w:rPr>
        <w:t>энергохолдинг</w:t>
      </w:r>
      <w:proofErr w:type="spellEnd"/>
      <w:r>
        <w:rPr>
          <w:rFonts w:eastAsia="Calibri" w:cstheme="minorHAnsi"/>
          <w:color w:val="000000"/>
        </w:rPr>
        <w:t xml:space="preserve">». </w:t>
      </w:r>
    </w:p>
    <w:p w:rsidR="00C81778" w:rsidRDefault="00AB0D4E">
      <w:pPr>
        <w:spacing w:before="120" w:after="0" w:line="240" w:lineRule="auto"/>
        <w:jc w:val="both"/>
        <w:rPr>
          <w:rFonts w:eastAsia="Calibri" w:cstheme="minorHAnsi"/>
          <w:color w:val="000000"/>
        </w:rPr>
      </w:pPr>
      <w:r>
        <w:rPr>
          <w:rFonts w:eastAsia="Calibri" w:cstheme="minorHAnsi"/>
          <w:color w:val="000000"/>
        </w:rPr>
        <w:t xml:space="preserve">ПАО «Мосэнерго», ПАО «ТГК-1», ПАО «ОГК-2» и ПАО «МОЭК» являются неотъемлемой частью бизнеса Группы Газпром, отчуждение указанных активов не рассматривается. </w:t>
      </w:r>
    </w:p>
    <w:p w:rsidR="00C81778" w:rsidRDefault="00AB0D4E">
      <w:pPr>
        <w:spacing w:before="120" w:after="0" w:line="240" w:lineRule="auto"/>
        <w:jc w:val="both"/>
        <w:rPr>
          <w:rFonts w:eastAsia="Calibri" w:cstheme="minorHAnsi"/>
          <w:color w:val="000000"/>
        </w:rPr>
      </w:pPr>
      <w:r>
        <w:rPr>
          <w:rFonts w:eastAsia="Calibri" w:cstheme="minorHAnsi"/>
          <w:color w:val="000000"/>
        </w:rPr>
        <w:t xml:space="preserve">Приоритетной задачей электроэнергетического направления ПАО «Газпром» считает поступательное развитие компаний, обеспечение стабильного роста их финансовых показателей при сохранении надежности энергоснабжения потребителей. </w:t>
      </w:r>
    </w:p>
    <w:p w:rsidR="00C81778" w:rsidRDefault="00AB0D4E">
      <w:pPr>
        <w:spacing w:before="120" w:after="0" w:line="240" w:lineRule="auto"/>
        <w:jc w:val="both"/>
        <w:rPr>
          <w:rFonts w:eastAsia="Calibri" w:cstheme="minorHAnsi"/>
          <w:color w:val="000000"/>
        </w:rPr>
      </w:pPr>
      <w:r>
        <w:rPr>
          <w:rFonts w:eastAsia="Calibri" w:cstheme="minorHAnsi"/>
          <w:color w:val="000000"/>
        </w:rPr>
        <w:t>ПАО «Газпром» осуществляет управление компаниями по единым корпоративным стандартам, осознает важность совершенствования корпоративного управления подконтрольных хозяйственных обществ и стремится к обеспечению открытости и прозрачности их деятельности.</w:t>
      </w:r>
    </w:p>
    <w:p w:rsidR="00C81778" w:rsidRDefault="00C81778">
      <w:pPr>
        <w:rPr>
          <w:rFonts w:cstheme="minorHAnsi"/>
        </w:rPr>
      </w:pPr>
    </w:p>
    <w:p w:rsidR="00C81778" w:rsidRDefault="00AB0D4E">
      <w:pPr>
        <w:pStyle w:val="21"/>
        <w:keepLines/>
        <w:spacing w:after="0" w:line="276" w:lineRule="auto"/>
        <w:rPr>
          <w:rFonts w:asciiTheme="minorHAnsi" w:eastAsiaTheme="majorEastAsia" w:hAnsiTheme="minorHAnsi" w:cstheme="minorHAnsi"/>
          <w:color w:val="2F5496" w:themeColor="accent1" w:themeShade="BF"/>
          <w:sz w:val="22"/>
          <w:szCs w:val="22"/>
        </w:rPr>
      </w:pPr>
      <w:bookmarkStart w:id="5" w:name="_Toc131707817"/>
      <w:r>
        <w:rPr>
          <w:rFonts w:asciiTheme="minorHAnsi" w:eastAsiaTheme="majorEastAsia" w:hAnsiTheme="minorHAnsi" w:cstheme="minorHAnsi"/>
          <w:color w:val="2F5496" w:themeColor="accent1" w:themeShade="BF"/>
          <w:sz w:val="22"/>
          <w:szCs w:val="22"/>
        </w:rPr>
        <w:t>1.2. Профиль ПАО «ОГК-2»</w:t>
      </w:r>
      <w:bookmarkEnd w:id="5"/>
    </w:p>
    <w:p w:rsidR="00C81778" w:rsidRDefault="00AB0D4E">
      <w:pPr>
        <w:pStyle w:val="affff6"/>
        <w:pBdr>
          <w:top w:val="single" w:sz="4" w:space="1" w:color="000000"/>
          <w:left w:val="single" w:sz="4" w:space="4" w:color="000000"/>
          <w:bottom w:val="single" w:sz="4" w:space="1" w:color="000000"/>
          <w:right w:val="single" w:sz="4" w:space="4" w:color="000000"/>
        </w:pBdr>
        <w:shd w:val="clear" w:color="auto" w:fill="F2F2F2" w:themeFill="background1" w:themeFillShade="F2"/>
        <w:spacing w:before="120"/>
        <w:jc w:val="both"/>
        <w:rPr>
          <w:rFonts w:asciiTheme="minorHAnsi" w:hAnsiTheme="minorHAnsi" w:cstheme="minorHAnsi"/>
          <w:sz w:val="22"/>
          <w:szCs w:val="22"/>
        </w:rPr>
      </w:pPr>
      <w:r>
        <w:rPr>
          <w:rFonts w:asciiTheme="minorHAnsi" w:hAnsiTheme="minorHAnsi" w:cstheme="minorHAnsi"/>
          <w:b/>
          <w:bCs/>
          <w:sz w:val="22"/>
          <w:szCs w:val="22"/>
        </w:rPr>
        <w:t>ПАО «ОГК-2»</w:t>
      </w:r>
      <w:r>
        <w:rPr>
          <w:rFonts w:asciiTheme="minorHAnsi" w:hAnsiTheme="minorHAnsi" w:cstheme="minorHAnsi"/>
          <w:sz w:val="22"/>
          <w:szCs w:val="22"/>
        </w:rPr>
        <w:t xml:space="preserve"> – крупнейшая российская компания тепловой генерации </w:t>
      </w:r>
      <w:r>
        <w:rPr>
          <w:rFonts w:asciiTheme="minorHAnsi" w:hAnsiTheme="minorHAnsi" w:cstheme="minorHAnsi"/>
          <w:sz w:val="22"/>
          <w:szCs w:val="22"/>
          <w:lang w:val="en-US"/>
        </w:rPr>
        <w:t>c</w:t>
      </w:r>
      <w:r>
        <w:rPr>
          <w:rFonts w:asciiTheme="minorHAnsi" w:hAnsiTheme="minorHAnsi" w:cstheme="minorHAnsi"/>
          <w:sz w:val="22"/>
          <w:szCs w:val="22"/>
        </w:rPr>
        <w:t xml:space="preserve"> установленной электрической мощностью 16,3 </w:t>
      </w:r>
      <w:proofErr w:type="spellStart"/>
      <w:r>
        <w:rPr>
          <w:rFonts w:asciiTheme="minorHAnsi" w:hAnsiTheme="minorHAnsi" w:cstheme="minorHAnsi"/>
          <w:sz w:val="22"/>
          <w:szCs w:val="22"/>
        </w:rPr>
        <w:t>Гвт</w:t>
      </w:r>
      <w:proofErr w:type="spellEnd"/>
      <w:r>
        <w:rPr>
          <w:rFonts w:asciiTheme="minorHAnsi" w:hAnsiTheme="minorHAnsi" w:cstheme="minorHAnsi"/>
          <w:sz w:val="22"/>
          <w:szCs w:val="22"/>
        </w:rPr>
        <w:t>.</w:t>
      </w:r>
    </w:p>
    <w:p w:rsidR="00C81778" w:rsidRDefault="00C81778">
      <w:pPr>
        <w:rPr>
          <w:rFonts w:cstheme="minorHAnsi"/>
        </w:rPr>
      </w:pPr>
    </w:p>
    <w:tbl>
      <w:tblPr>
        <w:tblW w:w="9493" w:type="dxa"/>
        <w:tblLayout w:type="fixed"/>
        <w:tblLook w:val="04A0" w:firstRow="1" w:lastRow="0" w:firstColumn="1" w:lastColumn="0" w:noHBand="0" w:noVBand="1"/>
      </w:tblPr>
      <w:tblGrid>
        <w:gridCol w:w="3822"/>
        <w:gridCol w:w="5671"/>
      </w:tblGrid>
      <w:tr w:rsidR="00C81778">
        <w:trPr>
          <w:trHeight w:val="148"/>
        </w:trPr>
        <w:tc>
          <w:tcPr>
            <w:tcW w:w="3822" w:type="dxa"/>
          </w:tcPr>
          <w:p w:rsidR="00C81778" w:rsidRDefault="00AB0D4E">
            <w:pPr>
              <w:spacing w:after="0" w:line="240" w:lineRule="auto"/>
              <w:rPr>
                <w:rFonts w:cstheme="minorHAnsi"/>
                <w:b/>
                <w:bCs/>
              </w:rPr>
            </w:pPr>
            <w:r>
              <w:rPr>
                <w:rFonts w:eastAsia="Calibri" w:cstheme="minorHAnsi"/>
                <w:b/>
                <w:bCs/>
              </w:rPr>
              <w:t>Полное фирменное наименование</w:t>
            </w:r>
          </w:p>
        </w:tc>
        <w:tc>
          <w:tcPr>
            <w:tcW w:w="5670" w:type="dxa"/>
          </w:tcPr>
          <w:p w:rsidR="00C81778" w:rsidRDefault="00AB0D4E">
            <w:pPr>
              <w:spacing w:after="0" w:line="240" w:lineRule="auto"/>
              <w:rPr>
                <w:rFonts w:cstheme="minorHAnsi"/>
                <w:b/>
                <w:bCs/>
              </w:rPr>
            </w:pPr>
            <w:r>
              <w:rPr>
                <w:rFonts w:eastAsia="Calibri" w:cstheme="minorHAnsi"/>
              </w:rPr>
              <w:t>Публичное акционерное общество «Вторая генерирующая компания оптового рынка электроэнергии»</w:t>
            </w:r>
          </w:p>
        </w:tc>
      </w:tr>
      <w:tr w:rsidR="00C81778">
        <w:trPr>
          <w:trHeight w:val="247"/>
        </w:trPr>
        <w:tc>
          <w:tcPr>
            <w:tcW w:w="3822" w:type="dxa"/>
          </w:tcPr>
          <w:p w:rsidR="00C81778" w:rsidRDefault="00AB0D4E">
            <w:pPr>
              <w:spacing w:after="0" w:line="240" w:lineRule="auto"/>
              <w:rPr>
                <w:rFonts w:cstheme="minorHAnsi"/>
                <w:b/>
                <w:bCs/>
              </w:rPr>
            </w:pPr>
            <w:r>
              <w:rPr>
                <w:rFonts w:eastAsia="Calibri" w:cstheme="minorHAnsi"/>
                <w:b/>
                <w:bCs/>
              </w:rPr>
              <w:t>Сокращенное фирменное наименование</w:t>
            </w:r>
          </w:p>
        </w:tc>
        <w:tc>
          <w:tcPr>
            <w:tcW w:w="5670" w:type="dxa"/>
          </w:tcPr>
          <w:p w:rsidR="00C81778" w:rsidRDefault="00AB0D4E">
            <w:pPr>
              <w:spacing w:after="0" w:line="240" w:lineRule="auto"/>
              <w:rPr>
                <w:rFonts w:cstheme="minorHAnsi"/>
              </w:rPr>
            </w:pPr>
            <w:r>
              <w:rPr>
                <w:rFonts w:eastAsia="Calibri" w:cstheme="minorHAnsi"/>
              </w:rPr>
              <w:t>ПАО «ОГК-2»</w:t>
            </w:r>
          </w:p>
        </w:tc>
      </w:tr>
      <w:tr w:rsidR="00C81778">
        <w:trPr>
          <w:trHeight w:val="247"/>
        </w:trPr>
        <w:tc>
          <w:tcPr>
            <w:tcW w:w="3822" w:type="dxa"/>
          </w:tcPr>
          <w:p w:rsidR="00C81778" w:rsidRDefault="00AB0D4E">
            <w:pPr>
              <w:spacing w:after="0" w:line="240" w:lineRule="auto"/>
              <w:rPr>
                <w:rFonts w:cstheme="minorHAnsi"/>
                <w:b/>
                <w:bCs/>
              </w:rPr>
            </w:pPr>
            <w:r>
              <w:rPr>
                <w:rFonts w:eastAsia="Calibri" w:cstheme="minorHAnsi"/>
                <w:b/>
                <w:bCs/>
              </w:rPr>
              <w:t>Место нахождения</w:t>
            </w:r>
          </w:p>
        </w:tc>
        <w:tc>
          <w:tcPr>
            <w:tcW w:w="5670" w:type="dxa"/>
          </w:tcPr>
          <w:p w:rsidR="00C81778" w:rsidRDefault="00AB0D4E">
            <w:pPr>
              <w:spacing w:after="0" w:line="240" w:lineRule="auto"/>
              <w:rPr>
                <w:rFonts w:cstheme="minorHAnsi"/>
              </w:rPr>
            </w:pPr>
            <w:r>
              <w:rPr>
                <w:rFonts w:eastAsia="Calibri" w:cstheme="minorHAnsi"/>
              </w:rPr>
              <w:t>Российская Федерация, г. Санкт-Петербург</w:t>
            </w:r>
          </w:p>
        </w:tc>
      </w:tr>
      <w:tr w:rsidR="00C81778">
        <w:trPr>
          <w:trHeight w:val="247"/>
        </w:trPr>
        <w:tc>
          <w:tcPr>
            <w:tcW w:w="3822" w:type="dxa"/>
          </w:tcPr>
          <w:p w:rsidR="00C81778" w:rsidRDefault="00AB0D4E">
            <w:pPr>
              <w:spacing w:after="0" w:line="240" w:lineRule="auto"/>
              <w:rPr>
                <w:rFonts w:cstheme="minorHAnsi"/>
                <w:b/>
                <w:bCs/>
              </w:rPr>
            </w:pPr>
            <w:r>
              <w:rPr>
                <w:rFonts w:eastAsia="Calibri" w:cstheme="minorHAnsi"/>
                <w:b/>
                <w:bCs/>
              </w:rPr>
              <w:t>Адрес регистрации</w:t>
            </w:r>
          </w:p>
        </w:tc>
        <w:tc>
          <w:tcPr>
            <w:tcW w:w="5670" w:type="dxa"/>
          </w:tcPr>
          <w:p w:rsidR="00C81778" w:rsidRDefault="00AB0D4E">
            <w:pPr>
              <w:spacing w:after="0" w:line="240" w:lineRule="auto"/>
              <w:rPr>
                <w:rFonts w:cstheme="minorHAnsi"/>
              </w:rPr>
            </w:pPr>
            <w:r>
              <w:rPr>
                <w:rFonts w:eastAsia="Calibri" w:cstheme="minorHAnsi"/>
              </w:rPr>
              <w:t xml:space="preserve">196605, г. Санкт-Петербург, </w:t>
            </w:r>
            <w:proofErr w:type="spellStart"/>
            <w:r>
              <w:rPr>
                <w:rFonts w:eastAsia="Calibri" w:cstheme="minorHAnsi"/>
              </w:rPr>
              <w:t>вн.тер.г</w:t>
            </w:r>
            <w:proofErr w:type="spellEnd"/>
            <w:r>
              <w:rPr>
                <w:rFonts w:eastAsia="Calibri" w:cstheme="minorHAnsi"/>
              </w:rPr>
              <w:t xml:space="preserve">. поселок </w:t>
            </w:r>
            <w:proofErr w:type="spellStart"/>
            <w:r>
              <w:rPr>
                <w:rFonts w:eastAsia="Calibri" w:cstheme="minorHAnsi"/>
              </w:rPr>
              <w:t>Шушары</w:t>
            </w:r>
            <w:proofErr w:type="spellEnd"/>
            <w:r>
              <w:rPr>
                <w:rFonts w:eastAsia="Calibri" w:cstheme="minorHAnsi"/>
              </w:rPr>
              <w:t xml:space="preserve">, ш Петербургское, д. 66, к. 1, литера А, этаж 7, </w:t>
            </w:r>
            <w:proofErr w:type="spellStart"/>
            <w:r>
              <w:rPr>
                <w:rFonts w:eastAsia="Calibri" w:cstheme="minorHAnsi"/>
              </w:rPr>
              <w:t>помещ</w:t>
            </w:r>
            <w:proofErr w:type="spellEnd"/>
            <w:r>
              <w:rPr>
                <w:rFonts w:eastAsia="Calibri" w:cstheme="minorHAnsi"/>
              </w:rPr>
              <w:t xml:space="preserve">. 36-Н, </w:t>
            </w:r>
            <w:proofErr w:type="spellStart"/>
            <w:r>
              <w:rPr>
                <w:rFonts w:eastAsia="Calibri" w:cstheme="minorHAnsi"/>
              </w:rPr>
              <w:t>каб</w:t>
            </w:r>
            <w:proofErr w:type="spellEnd"/>
            <w:r>
              <w:rPr>
                <w:rFonts w:eastAsia="Calibri" w:cstheme="minorHAnsi"/>
              </w:rPr>
              <w:t>. 701</w:t>
            </w:r>
          </w:p>
        </w:tc>
      </w:tr>
      <w:tr w:rsidR="00C81778">
        <w:trPr>
          <w:trHeight w:val="247"/>
        </w:trPr>
        <w:tc>
          <w:tcPr>
            <w:tcW w:w="3822" w:type="dxa"/>
          </w:tcPr>
          <w:p w:rsidR="00C81778" w:rsidRDefault="00AB0D4E">
            <w:pPr>
              <w:spacing w:after="0" w:line="240" w:lineRule="auto"/>
              <w:rPr>
                <w:rFonts w:cstheme="minorHAnsi"/>
                <w:b/>
                <w:bCs/>
              </w:rPr>
            </w:pPr>
            <w:r>
              <w:rPr>
                <w:rFonts w:eastAsia="Calibri" w:cstheme="minorHAnsi"/>
                <w:b/>
                <w:bCs/>
              </w:rPr>
              <w:t>ИНН</w:t>
            </w:r>
          </w:p>
        </w:tc>
        <w:tc>
          <w:tcPr>
            <w:tcW w:w="5670" w:type="dxa"/>
          </w:tcPr>
          <w:p w:rsidR="00C81778" w:rsidRDefault="00AB0D4E">
            <w:pPr>
              <w:spacing w:after="0" w:line="240" w:lineRule="auto"/>
              <w:rPr>
                <w:rFonts w:cstheme="minorHAnsi"/>
              </w:rPr>
            </w:pPr>
            <w:r>
              <w:rPr>
                <w:rFonts w:eastAsia="Calibri" w:cstheme="minorHAnsi"/>
              </w:rPr>
              <w:t>2607018122</w:t>
            </w:r>
          </w:p>
        </w:tc>
      </w:tr>
      <w:tr w:rsidR="00C81778">
        <w:trPr>
          <w:trHeight w:val="247"/>
        </w:trPr>
        <w:tc>
          <w:tcPr>
            <w:tcW w:w="3822" w:type="dxa"/>
          </w:tcPr>
          <w:p w:rsidR="00C81778" w:rsidRDefault="00AB0D4E">
            <w:pPr>
              <w:spacing w:after="0" w:line="240" w:lineRule="auto"/>
              <w:rPr>
                <w:rFonts w:cstheme="minorHAnsi"/>
                <w:b/>
                <w:bCs/>
              </w:rPr>
            </w:pPr>
            <w:r>
              <w:rPr>
                <w:rFonts w:eastAsia="Calibri" w:cstheme="minorHAnsi"/>
                <w:b/>
                <w:bCs/>
              </w:rPr>
              <w:t>ОГРН</w:t>
            </w:r>
          </w:p>
        </w:tc>
        <w:tc>
          <w:tcPr>
            <w:tcW w:w="5670" w:type="dxa"/>
          </w:tcPr>
          <w:p w:rsidR="00C81778" w:rsidRDefault="00AB0D4E">
            <w:pPr>
              <w:spacing w:after="0" w:line="240" w:lineRule="auto"/>
              <w:rPr>
                <w:rFonts w:cstheme="minorHAnsi"/>
              </w:rPr>
            </w:pPr>
            <w:r>
              <w:rPr>
                <w:rFonts w:eastAsia="Calibri" w:cstheme="minorHAnsi"/>
              </w:rPr>
              <w:t>1052600002180</w:t>
            </w:r>
          </w:p>
        </w:tc>
      </w:tr>
    </w:tbl>
    <w:p w:rsidR="00C81778" w:rsidRDefault="00AB0D4E">
      <w:pPr>
        <w:spacing w:before="120" w:after="0" w:line="240" w:lineRule="auto"/>
        <w:jc w:val="both"/>
        <w:rPr>
          <w:rFonts w:eastAsia="Calibri" w:cstheme="minorHAnsi"/>
          <w:color w:val="000000"/>
        </w:rPr>
      </w:pPr>
      <w:r>
        <w:rPr>
          <w:rFonts w:eastAsia="Calibri" w:cstheme="minorHAnsi"/>
          <w:color w:val="000000"/>
        </w:rPr>
        <w:t xml:space="preserve">Рейтинговое Агентство Эксперт РА 24 декабря 2020 года присвоило ПАО «ОГК-2» кредитный рейтинг по национальной шкале на максимальном в соответствии со шкалой агентства уровне </w:t>
      </w:r>
      <w:proofErr w:type="spellStart"/>
      <w:r>
        <w:rPr>
          <w:rFonts w:eastAsia="Calibri" w:cstheme="minorHAnsi"/>
          <w:color w:val="000000"/>
        </w:rPr>
        <w:t>Ru</w:t>
      </w:r>
      <w:proofErr w:type="spellEnd"/>
      <w:r>
        <w:rPr>
          <w:rFonts w:eastAsia="Calibri" w:cstheme="minorHAnsi"/>
          <w:color w:val="000000"/>
        </w:rPr>
        <w:t xml:space="preserve"> ААА, прогноз «Стабильный». Общество проходит ежегодную процедуру подтверждения рейтинга, последняя из них состоялась в декабре 2023 года. Уровень кредитного рейтинга и прогноз по нему подтвержден.</w:t>
      </w:r>
    </w:p>
    <w:p w:rsidR="00C81778" w:rsidRDefault="00C81778">
      <w:pPr>
        <w:rPr>
          <w:lang w:eastAsia="ru-RU"/>
        </w:rPr>
      </w:pPr>
    </w:p>
    <w:p w:rsidR="00C81778" w:rsidRDefault="00AB0D4E">
      <w:pPr>
        <w:pStyle w:val="31"/>
        <w:keepLines/>
        <w:spacing w:before="120" w:after="0"/>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lastRenderedPageBreak/>
        <w:t>Основные виды деятельности и рынок сбыта</w:t>
      </w:r>
    </w:p>
    <w:p w:rsidR="00C81778" w:rsidRDefault="00AB0D4E">
      <w:pPr>
        <w:pStyle w:val="affff6"/>
        <w:shd w:val="clear" w:color="auto" w:fill="FFFFFF"/>
        <w:spacing w:before="120"/>
        <w:jc w:val="both"/>
        <w:rPr>
          <w:rFonts w:asciiTheme="minorHAnsi" w:hAnsiTheme="minorHAnsi" w:cstheme="minorHAnsi"/>
          <w:sz w:val="22"/>
          <w:szCs w:val="22"/>
        </w:rPr>
      </w:pPr>
      <w:r>
        <w:rPr>
          <w:rFonts w:asciiTheme="minorHAnsi" w:hAnsiTheme="minorHAnsi" w:cstheme="minorHAnsi"/>
          <w:noProof/>
          <w:sz w:val="22"/>
          <w:szCs w:val="22"/>
        </w:rPr>
        <w:drawing>
          <wp:anchor distT="0" distB="0" distL="0" distR="0" simplePos="0" relativeHeight="10" behindDoc="0" locked="0" layoutInCell="1" allowOverlap="1">
            <wp:simplePos x="0" y="0"/>
            <wp:positionH relativeFrom="column">
              <wp:posOffset>3691890</wp:posOffset>
            </wp:positionH>
            <wp:positionV relativeFrom="paragraph">
              <wp:posOffset>67310</wp:posOffset>
            </wp:positionV>
            <wp:extent cx="2200275" cy="1990725"/>
            <wp:effectExtent l="0" t="0" r="0" b="0"/>
            <wp:wrapSquare wrapText="bothSides"/>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r>
        <w:rPr>
          <w:rFonts w:asciiTheme="minorHAnsi" w:hAnsiTheme="minorHAnsi" w:cstheme="minorHAnsi"/>
          <w:sz w:val="22"/>
          <w:szCs w:val="22"/>
        </w:rPr>
        <w:t xml:space="preserve">В рамках инвестиционной программы построено 4,5 ГВт новой мощности, подтвержденных договорами о предоставлении мощности (ДПМ). При выборе оборудования приоритет отдан высокоэффективным технологиям парогазового цикла и современным технологиям сжигания угля. В 2023 г. объем выработки на ДПМ-блоках составил 16,2% от общего. </w:t>
      </w:r>
    </w:p>
    <w:p w:rsidR="00C81778" w:rsidRDefault="00AB0D4E">
      <w:pPr>
        <w:pStyle w:val="affff6"/>
        <w:shd w:val="clear" w:color="auto" w:fill="FFFFFF"/>
        <w:spacing w:before="120"/>
        <w:jc w:val="both"/>
        <w:rPr>
          <w:rFonts w:asciiTheme="minorHAnsi" w:hAnsiTheme="minorHAnsi" w:cstheme="minorHAnsi"/>
          <w:sz w:val="22"/>
          <w:szCs w:val="22"/>
        </w:rPr>
      </w:pPr>
      <w:r>
        <w:rPr>
          <w:rFonts w:asciiTheme="minorHAnsi" w:hAnsiTheme="minorHAnsi" w:cstheme="minorHAnsi"/>
          <w:sz w:val="22"/>
          <w:szCs w:val="22"/>
        </w:rPr>
        <w:t>Основными видами деятельности ПАО «ОГК-2» являются производство и продажа электрической и тепловой энергии. Основным рынком сбыта является оптовый рынок электрической энергии (мощности). В рамках этой деятельности ПАО «ОГК-2» обеспечивает эксплуатацию энергетического оборудования в соответствии с действующими нормативными требованиями, проводит своевременный и качественный ремонт, техническое перевооружение и реконструкцию энергетических объектов.</w:t>
      </w:r>
    </w:p>
    <w:p w:rsidR="00C81778" w:rsidRDefault="00C81778">
      <w:pPr>
        <w:spacing w:before="120" w:after="0" w:line="240" w:lineRule="auto"/>
        <w:jc w:val="both"/>
        <w:rPr>
          <w:rFonts w:eastAsia="Calibri" w:cstheme="minorHAnsi"/>
          <w:b/>
          <w:bCs/>
          <w:i/>
          <w:iCs/>
          <w:color w:val="44546A" w:themeColor="text2"/>
        </w:rPr>
      </w:pPr>
      <w:bookmarkStart w:id="6" w:name="_Hlk66360889"/>
    </w:p>
    <w:p w:rsidR="00C81778" w:rsidRDefault="00AB0D4E">
      <w:pPr>
        <w:spacing w:before="120" w:after="0" w:line="240" w:lineRule="auto"/>
        <w:jc w:val="both"/>
        <w:rPr>
          <w:rFonts w:eastAsia="Calibri" w:cstheme="minorHAnsi"/>
          <w:b/>
          <w:bCs/>
          <w:i/>
          <w:iCs/>
          <w:color w:val="44546A" w:themeColor="text2"/>
        </w:rPr>
      </w:pPr>
      <w:r>
        <w:rPr>
          <w:rFonts w:eastAsia="Calibri" w:cstheme="minorHAnsi"/>
          <w:b/>
          <w:bCs/>
          <w:i/>
          <w:iCs/>
          <w:color w:val="44546A" w:themeColor="text2"/>
        </w:rPr>
        <w:t>Установленная электрическая и тепловая мощность</w:t>
      </w:r>
    </w:p>
    <w:p w:rsidR="00C81778" w:rsidRDefault="00AB0D4E">
      <w:pPr>
        <w:spacing w:before="120" w:after="0" w:line="240" w:lineRule="auto"/>
        <w:jc w:val="both"/>
        <w:rPr>
          <w:rFonts w:eastAsia="Calibri" w:cstheme="minorHAnsi"/>
          <w:b/>
          <w:bCs/>
          <w:i/>
          <w:iCs/>
          <w:color w:val="44546A" w:themeColor="text2"/>
        </w:rPr>
      </w:pPr>
      <w:r>
        <w:rPr>
          <w:rFonts w:eastAsia="Calibri" w:cstheme="minorHAnsi"/>
          <w:b/>
          <w:bCs/>
        </w:rPr>
        <w:t>16 332 МВт</w:t>
      </w:r>
      <w:r>
        <w:rPr>
          <w:rFonts w:eastAsia="Calibri" w:cstheme="minorHAnsi"/>
          <w:b/>
          <w:bCs/>
          <w:i/>
          <w:iCs/>
          <w:color w:val="44546A" w:themeColor="text2"/>
        </w:rPr>
        <w:t xml:space="preserve"> </w:t>
      </w:r>
      <w:r>
        <w:rPr>
          <w:rFonts w:eastAsia="Calibri" w:cstheme="minorHAnsi"/>
          <w:bCs/>
          <w:iCs/>
          <w:color w:val="44546A" w:themeColor="text2"/>
        </w:rPr>
        <w:t>—</w:t>
      </w:r>
      <w:r>
        <w:rPr>
          <w:rFonts w:eastAsia="Calibri" w:cstheme="minorHAnsi"/>
        </w:rPr>
        <w:t xml:space="preserve"> установленная электрическая мощность</w:t>
      </w:r>
    </w:p>
    <w:p w:rsidR="00C81778" w:rsidRDefault="00AB0D4E">
      <w:pPr>
        <w:spacing w:before="120" w:after="0" w:line="240" w:lineRule="auto"/>
        <w:jc w:val="both"/>
        <w:rPr>
          <w:rFonts w:eastAsia="Calibri" w:cstheme="minorHAnsi"/>
        </w:rPr>
      </w:pPr>
      <w:bookmarkStart w:id="7" w:name="_Hlk66398834"/>
      <w:bookmarkEnd w:id="7"/>
      <w:r>
        <w:rPr>
          <w:rFonts w:eastAsia="Calibri" w:cstheme="minorHAnsi"/>
          <w:b/>
          <w:bCs/>
        </w:rPr>
        <w:t>2 723,27</w:t>
      </w:r>
      <w:r>
        <w:rPr>
          <w:rFonts w:cstheme="minorHAnsi"/>
        </w:rPr>
        <w:t xml:space="preserve"> </w:t>
      </w:r>
      <w:r>
        <w:rPr>
          <w:rFonts w:eastAsia="Calibri" w:cstheme="minorHAnsi"/>
          <w:b/>
          <w:bCs/>
        </w:rPr>
        <w:t>Гкал/ч</w:t>
      </w:r>
      <w:r>
        <w:rPr>
          <w:rFonts w:eastAsia="Calibri" w:cstheme="minorHAnsi"/>
        </w:rPr>
        <w:t xml:space="preserve"> — установленная тепловая мощность</w:t>
      </w:r>
    </w:p>
    <w:p w:rsidR="00C81778" w:rsidRDefault="00AB0D4E">
      <w:pPr>
        <w:spacing w:before="120" w:after="0" w:line="240" w:lineRule="auto"/>
        <w:jc w:val="both"/>
        <w:rPr>
          <w:rFonts w:cstheme="minorHAnsi"/>
        </w:rPr>
      </w:pPr>
      <w:bookmarkStart w:id="8" w:name="_Hlk66398834_Копия_1"/>
      <w:bookmarkStart w:id="9" w:name="_Hlk34150738"/>
      <w:bookmarkEnd w:id="8"/>
      <w:r>
        <w:rPr>
          <w:rFonts w:eastAsia="Calibri" w:cstheme="minorHAnsi"/>
          <w:b/>
          <w:bCs/>
        </w:rPr>
        <w:t>4 4</w:t>
      </w:r>
      <w:r>
        <w:rPr>
          <w:rFonts w:cstheme="minorHAnsi"/>
          <w:b/>
          <w:bCs/>
        </w:rPr>
        <w:t>73</w:t>
      </w:r>
      <w:r>
        <w:rPr>
          <w:rFonts w:eastAsia="Calibri" w:cstheme="minorHAnsi"/>
          <w:b/>
          <w:bCs/>
        </w:rPr>
        <w:t xml:space="preserve"> МВт</w:t>
      </w:r>
      <w:r>
        <w:rPr>
          <w:rFonts w:eastAsia="Calibri" w:cstheme="minorHAnsi"/>
        </w:rPr>
        <w:t xml:space="preserve"> — в</w:t>
      </w:r>
      <w:r>
        <w:rPr>
          <w:rFonts w:cstheme="minorHAnsi"/>
        </w:rPr>
        <w:t xml:space="preserve">веденная с 2009 электрическая мощность (с учетом </w:t>
      </w:r>
      <w:proofErr w:type="spellStart"/>
      <w:r>
        <w:rPr>
          <w:rFonts w:cstheme="minorHAnsi"/>
        </w:rPr>
        <w:t>перемаркировки</w:t>
      </w:r>
      <w:proofErr w:type="spellEnd"/>
      <w:r>
        <w:rPr>
          <w:rFonts w:cstheme="minorHAnsi"/>
        </w:rPr>
        <w:t xml:space="preserve">) и </w:t>
      </w:r>
      <w:r>
        <w:rPr>
          <w:rFonts w:eastAsia="Calibri" w:cstheme="minorHAnsi"/>
          <w:b/>
          <w:bCs/>
        </w:rPr>
        <w:t>117,9 Гкал/ч</w:t>
      </w:r>
      <w:r>
        <w:rPr>
          <w:rFonts w:cstheme="minorHAnsi"/>
        </w:rPr>
        <w:t xml:space="preserve"> </w:t>
      </w:r>
      <w:bookmarkStart w:id="10" w:name="_Hlk34150776"/>
      <w:r>
        <w:rPr>
          <w:rFonts w:cstheme="minorHAnsi"/>
        </w:rPr>
        <w:t>тепловая мощность в рамках завершившейся программы ДПМ</w:t>
      </w:r>
      <w:bookmarkEnd w:id="6"/>
      <w:bookmarkEnd w:id="9"/>
      <w:bookmarkEnd w:id="10"/>
    </w:p>
    <w:p w:rsidR="00C81778" w:rsidRDefault="00C81778">
      <w:pPr>
        <w:spacing w:before="120" w:after="0" w:line="240" w:lineRule="auto"/>
        <w:jc w:val="both"/>
        <w:rPr>
          <w:rFonts w:eastAsiaTheme="majorEastAsia" w:cstheme="minorHAnsi"/>
          <w:color w:val="1F3763" w:themeColor="accent1" w:themeShade="7F"/>
        </w:rPr>
      </w:pPr>
    </w:p>
    <w:p w:rsidR="00C81778" w:rsidRDefault="00AB0D4E">
      <w:pPr>
        <w:spacing w:before="120" w:after="0" w:line="240" w:lineRule="auto"/>
        <w:jc w:val="both"/>
        <w:rPr>
          <w:rFonts w:eastAsiaTheme="majorEastAsia" w:cstheme="minorHAnsi"/>
          <w:color w:val="1F3763" w:themeColor="accent1" w:themeShade="7F"/>
        </w:rPr>
      </w:pPr>
      <w:r>
        <w:rPr>
          <w:rFonts w:eastAsiaTheme="majorEastAsia" w:cstheme="minorHAnsi"/>
          <w:color w:val="1F3763" w:themeColor="accent1" w:themeShade="7F"/>
        </w:rPr>
        <w:t>Положении Компании в отрасли</w:t>
      </w:r>
      <w:r>
        <w:rPr>
          <w:rStyle w:val="af0"/>
          <w:rFonts w:eastAsiaTheme="majorEastAsia" w:cstheme="minorHAnsi"/>
          <w:color w:val="1F3763" w:themeColor="accent1" w:themeShade="7F"/>
        </w:rPr>
        <w:footnoteReference w:id="1"/>
      </w:r>
    </w:p>
    <w:p w:rsidR="00C81778" w:rsidRDefault="00AB0D4E">
      <w:pPr>
        <w:spacing w:before="120" w:after="0" w:line="240" w:lineRule="auto"/>
        <w:rPr>
          <w:rFonts w:eastAsia="Calibri" w:cstheme="minorHAnsi"/>
          <w:b/>
        </w:rPr>
      </w:pPr>
      <w:r>
        <w:rPr>
          <w:rFonts w:eastAsia="Calibri" w:cstheme="minorHAnsi"/>
          <w:b/>
        </w:rPr>
        <w:t>Потребление и выработка электроэнергии</w:t>
      </w:r>
    </w:p>
    <w:p w:rsidR="00C81778" w:rsidRDefault="00AB0D4E">
      <w:pPr>
        <w:spacing w:before="120" w:after="0" w:line="240" w:lineRule="auto"/>
        <w:jc w:val="both"/>
        <w:rPr>
          <w:rFonts w:eastAsia="Calibri" w:cstheme="minorHAnsi"/>
          <w:bCs/>
        </w:rPr>
      </w:pPr>
      <w:r>
        <w:rPr>
          <w:rFonts w:eastAsia="Calibri" w:cstheme="minorHAnsi"/>
          <w:bCs/>
          <w:noProof/>
          <w:lang w:eastAsia="ru-RU"/>
        </w:rPr>
        <w:drawing>
          <wp:anchor distT="0" distB="0" distL="0" distR="0" simplePos="0" relativeHeight="8" behindDoc="0" locked="0" layoutInCell="1" allowOverlap="1">
            <wp:simplePos x="0" y="0"/>
            <wp:positionH relativeFrom="margin">
              <wp:align>left</wp:align>
            </wp:positionH>
            <wp:positionV relativeFrom="paragraph">
              <wp:posOffset>74930</wp:posOffset>
            </wp:positionV>
            <wp:extent cx="2969895" cy="1879600"/>
            <wp:effectExtent l="0" t="0" r="0" b="0"/>
            <wp:wrapSquare wrapText="bothSides"/>
            <wp:docPr id="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Pr>
          <w:rFonts w:eastAsia="Calibri" w:cstheme="minorHAnsi"/>
          <w:bCs/>
        </w:rPr>
        <w:t>Потребление электроэнергии по ЕЭС выросло в 2023 году на 1,4 % (приведенное к температурным условиям 2022 года потребление выросло на 1,7 %) по сравнению с предыдущим годом, до 1 121,6 млрд </w:t>
      </w:r>
      <w:proofErr w:type="spellStart"/>
      <w:r>
        <w:rPr>
          <w:rFonts w:eastAsia="Calibri" w:cstheme="minorHAnsi"/>
          <w:bCs/>
        </w:rPr>
        <w:t>кВт∙ч</w:t>
      </w:r>
      <w:proofErr w:type="spellEnd"/>
      <w:r>
        <w:rPr>
          <w:rFonts w:eastAsia="Calibri" w:cstheme="minorHAnsi"/>
          <w:bCs/>
        </w:rPr>
        <w:t>. Общая выработка выросла на 1,1 %, до 1 134,0 млрд </w:t>
      </w:r>
      <w:proofErr w:type="spellStart"/>
      <w:r>
        <w:rPr>
          <w:rFonts w:eastAsia="Calibri" w:cstheme="minorHAnsi"/>
          <w:bCs/>
        </w:rPr>
        <w:t>кВт∙ч</w:t>
      </w:r>
      <w:proofErr w:type="spellEnd"/>
      <w:r>
        <w:rPr>
          <w:rFonts w:eastAsia="Calibri" w:cstheme="minorHAnsi"/>
          <w:bCs/>
        </w:rPr>
        <w:t>.</w:t>
      </w:r>
    </w:p>
    <w:p w:rsidR="00C81778" w:rsidRDefault="00AB0D4E">
      <w:pPr>
        <w:spacing w:before="120" w:after="0" w:line="240" w:lineRule="auto"/>
        <w:jc w:val="both"/>
        <w:rPr>
          <w:rFonts w:eastAsia="Calibri" w:cstheme="minorHAnsi"/>
          <w:bCs/>
        </w:rPr>
      </w:pPr>
      <w:r>
        <w:rPr>
          <w:rFonts w:eastAsia="Calibri" w:cstheme="minorHAnsi"/>
          <w:bCs/>
        </w:rPr>
        <w:t>Электростанции ПАО «ОГК-2» в 2023 году выработали 53,4 млрд </w:t>
      </w:r>
      <w:proofErr w:type="spellStart"/>
      <w:r>
        <w:rPr>
          <w:rFonts w:eastAsia="Calibri" w:cstheme="minorHAnsi"/>
          <w:bCs/>
        </w:rPr>
        <w:t>кВт∙ч</w:t>
      </w:r>
      <w:proofErr w:type="spellEnd"/>
      <w:r>
        <w:rPr>
          <w:rFonts w:eastAsia="Calibri" w:cstheme="minorHAnsi"/>
          <w:bCs/>
        </w:rPr>
        <w:t xml:space="preserve"> (в том числе 8,7 млрд </w:t>
      </w:r>
      <w:proofErr w:type="spellStart"/>
      <w:r>
        <w:rPr>
          <w:rFonts w:eastAsia="Calibri" w:cstheme="minorHAnsi"/>
          <w:bCs/>
        </w:rPr>
        <w:t>кВт∙ч</w:t>
      </w:r>
      <w:proofErr w:type="spellEnd"/>
      <w:r>
        <w:rPr>
          <w:rFonts w:eastAsia="Calibri" w:cstheme="minorHAnsi"/>
          <w:bCs/>
        </w:rPr>
        <w:t xml:space="preserve"> – выработка ДПМ-блоков), это на 10,1 % выше аналогичного показателя прошлого года (48,5 млрд </w:t>
      </w:r>
      <w:proofErr w:type="spellStart"/>
      <w:r>
        <w:rPr>
          <w:rFonts w:eastAsia="Calibri" w:cstheme="minorHAnsi"/>
          <w:bCs/>
        </w:rPr>
        <w:t>кВт∙ч</w:t>
      </w:r>
      <w:proofErr w:type="spellEnd"/>
      <w:r>
        <w:rPr>
          <w:rFonts w:eastAsia="Calibri" w:cstheme="minorHAnsi"/>
          <w:bCs/>
        </w:rPr>
        <w:t>). Рост объема производства связан с высокой востребованностью генерирующего оборудования.</w:t>
      </w:r>
    </w:p>
    <w:p w:rsidR="00C81778" w:rsidRDefault="00C81778">
      <w:pPr>
        <w:spacing w:before="120" w:after="0" w:line="240" w:lineRule="auto"/>
        <w:jc w:val="both"/>
        <w:rPr>
          <w:rFonts w:cstheme="minorHAnsi"/>
          <w:b/>
          <w:bCs/>
        </w:rPr>
      </w:pPr>
    </w:p>
    <w:p w:rsidR="00C81778" w:rsidRDefault="00C81778">
      <w:pPr>
        <w:spacing w:before="120" w:after="0" w:line="240" w:lineRule="auto"/>
        <w:jc w:val="both"/>
        <w:rPr>
          <w:rFonts w:cstheme="minorHAnsi"/>
          <w:b/>
          <w:bCs/>
        </w:rPr>
      </w:pPr>
    </w:p>
    <w:p w:rsidR="00C81778" w:rsidRDefault="00C81778">
      <w:pPr>
        <w:spacing w:before="120" w:after="0" w:line="240" w:lineRule="auto"/>
        <w:jc w:val="both"/>
        <w:rPr>
          <w:rFonts w:cstheme="minorHAnsi"/>
          <w:b/>
          <w:bCs/>
        </w:rPr>
      </w:pPr>
    </w:p>
    <w:p w:rsidR="00C81778" w:rsidRDefault="00C81778">
      <w:pPr>
        <w:spacing w:before="120" w:after="0" w:line="240" w:lineRule="auto"/>
        <w:jc w:val="both"/>
        <w:rPr>
          <w:rFonts w:cstheme="minorHAnsi"/>
          <w:b/>
          <w:bCs/>
        </w:rPr>
      </w:pPr>
    </w:p>
    <w:p w:rsidR="00C81778" w:rsidRDefault="00C81778">
      <w:pPr>
        <w:spacing w:before="120" w:after="0" w:line="240" w:lineRule="auto"/>
        <w:jc w:val="both"/>
        <w:rPr>
          <w:rFonts w:cstheme="minorHAnsi"/>
          <w:b/>
          <w:bCs/>
        </w:rPr>
      </w:pPr>
    </w:p>
    <w:p w:rsidR="00C81778" w:rsidRDefault="00C81778">
      <w:pPr>
        <w:spacing w:before="120" w:after="0" w:line="240" w:lineRule="auto"/>
        <w:jc w:val="both"/>
        <w:rPr>
          <w:rFonts w:cstheme="minorHAnsi"/>
          <w:b/>
          <w:bCs/>
        </w:rPr>
      </w:pPr>
    </w:p>
    <w:p w:rsidR="00C81778" w:rsidRDefault="00AB0D4E">
      <w:pPr>
        <w:spacing w:before="120" w:after="0" w:line="240" w:lineRule="auto"/>
        <w:jc w:val="both"/>
        <w:rPr>
          <w:rFonts w:cstheme="minorHAnsi"/>
          <w:b/>
          <w:bCs/>
        </w:rPr>
      </w:pPr>
      <w:bookmarkStart w:id="11" w:name="_Toc507518417"/>
      <w:r>
        <w:rPr>
          <w:rFonts w:cstheme="minorHAnsi"/>
          <w:b/>
          <w:bCs/>
        </w:rPr>
        <w:lastRenderedPageBreak/>
        <w:t>Установленная мощность</w:t>
      </w:r>
      <w:bookmarkEnd w:id="11"/>
    </w:p>
    <w:p w:rsidR="00C81778" w:rsidRDefault="00AB0D4E">
      <w:pPr>
        <w:spacing w:before="120" w:after="0" w:line="240" w:lineRule="auto"/>
        <w:jc w:val="both"/>
        <w:rPr>
          <w:rFonts w:eastAsia="Calibri" w:cstheme="minorHAnsi"/>
        </w:rPr>
      </w:pPr>
      <w:r>
        <w:rPr>
          <w:rFonts w:eastAsia="Calibri" w:cstheme="minorHAnsi"/>
          <w:noProof/>
          <w:lang w:eastAsia="ru-RU"/>
        </w:rPr>
        <w:drawing>
          <wp:anchor distT="0" distB="0" distL="0" distR="0" simplePos="0" relativeHeight="7" behindDoc="0" locked="0" layoutInCell="1" allowOverlap="1">
            <wp:simplePos x="0" y="0"/>
            <wp:positionH relativeFrom="column">
              <wp:posOffset>-247650</wp:posOffset>
            </wp:positionH>
            <wp:positionV relativeFrom="paragraph">
              <wp:posOffset>85090</wp:posOffset>
            </wp:positionV>
            <wp:extent cx="3148330" cy="2552700"/>
            <wp:effectExtent l="0" t="0" r="0" b="0"/>
            <wp:wrapSquare wrapText="bothSides"/>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Pr>
          <w:rFonts w:eastAsia="Calibri" w:cstheme="minorHAnsi"/>
        </w:rPr>
        <w:t>На конец 2023 г. установленная мощность электростанций ЕЭС России составила 248 164,88 МВт, увеличившись за год на 563,11 МВт.</w:t>
      </w:r>
    </w:p>
    <w:p w:rsidR="00C81778" w:rsidRDefault="00C81778">
      <w:pPr>
        <w:pStyle w:val="af5"/>
      </w:pPr>
    </w:p>
    <w:p w:rsidR="00C81778" w:rsidRDefault="00AB0D4E">
      <w:pPr>
        <w:pStyle w:val="af5"/>
        <w:rPr>
          <w:rFonts w:eastAsia="Calibri" w:cstheme="minorHAnsi"/>
          <w:sz w:val="22"/>
          <w:szCs w:val="22"/>
        </w:rPr>
      </w:pPr>
      <w:r>
        <w:rPr>
          <w:rFonts w:eastAsia="Calibri" w:cstheme="minorHAnsi"/>
          <w:sz w:val="22"/>
          <w:szCs w:val="22"/>
        </w:rPr>
        <w:t xml:space="preserve">В составе ПАО ОГК-2: 2 ТЭС и 9 ГРЭС. Доля ПАО «ОГК-2» в установленной электрической мощности ЕЭС России составляет 0,7%. </w:t>
      </w:r>
    </w:p>
    <w:p w:rsidR="00C81778" w:rsidRDefault="00AB0D4E">
      <w:pPr>
        <w:spacing w:before="120" w:after="0" w:line="240" w:lineRule="auto"/>
        <w:rPr>
          <w:rFonts w:eastAsia="Calibri" w:cstheme="minorHAnsi"/>
          <w:bCs/>
        </w:rPr>
        <w:sectPr w:rsidR="00C81778">
          <w:footerReference w:type="default" r:id="rId11"/>
          <w:pgSz w:w="11906" w:h="16838"/>
          <w:pgMar w:top="1134" w:right="850" w:bottom="851" w:left="1701" w:header="0" w:footer="708" w:gutter="0"/>
          <w:cols w:space="1701"/>
          <w:titlePg/>
          <w:docGrid w:linePitch="360"/>
        </w:sectPr>
      </w:pPr>
      <w:r>
        <w:rPr>
          <w:rFonts w:eastAsia="Calibri" w:cstheme="minorHAnsi"/>
          <w:bCs/>
        </w:rPr>
        <w:t>Основа российской электроэнергетики – ТЭС (65,98% установленной мощности).</w:t>
      </w: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lastRenderedPageBreak/>
        <w:t>География деятельности</w:t>
      </w:r>
      <w:r>
        <w:rPr>
          <w:rStyle w:val="af0"/>
          <w:rFonts w:asciiTheme="minorHAnsi" w:eastAsiaTheme="majorEastAsia" w:hAnsiTheme="minorHAnsi" w:cstheme="minorHAnsi"/>
          <w:color w:val="1F3763" w:themeColor="accent1" w:themeShade="7F"/>
          <w:sz w:val="22"/>
          <w:szCs w:val="22"/>
        </w:rPr>
        <w:footnoteReference w:id="2"/>
      </w:r>
    </w:p>
    <w:p w:rsidR="00C81778" w:rsidRDefault="00AB0D4E">
      <w:pPr>
        <w:spacing w:after="0" w:line="240" w:lineRule="auto"/>
        <w:rPr>
          <w:rFonts w:cstheme="minorHAnsi"/>
        </w:rPr>
      </w:pPr>
      <w:r>
        <w:rPr>
          <w:noProof/>
          <w:lang w:eastAsia="ru-RU"/>
        </w:rPr>
        <w:drawing>
          <wp:inline distT="0" distB="0" distL="0" distR="0">
            <wp:extent cx="8567420" cy="4904105"/>
            <wp:effectExtent l="0" t="0" r="0" b="0"/>
            <wp:docPr id="4" name="Рисунок 17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71" descr="Изображение выглядит как карта&#10;&#10;Автоматически созданное описание"/>
                    <pic:cNvPicPr>
                      <a:picLocks noChangeAspect="1"/>
                    </pic:cNvPicPr>
                  </pic:nvPicPr>
                  <pic:blipFill>
                    <a:blip r:embed="rId12"/>
                    <a:srcRect t="4463"/>
                    <a:stretch/>
                  </pic:blipFill>
                  <pic:spPr bwMode="auto">
                    <a:xfrm>
                      <a:off x="0" y="0"/>
                      <a:ext cx="8567420" cy="4904105"/>
                    </a:xfrm>
                    <a:prstGeom prst="rect">
                      <a:avLst/>
                    </a:prstGeom>
                  </pic:spPr>
                </pic:pic>
              </a:graphicData>
            </a:graphic>
          </wp:inline>
        </w:drawing>
      </w:r>
    </w:p>
    <w:p w:rsidR="00C81778" w:rsidRDefault="00AB0D4E">
      <w:pPr>
        <w:rPr>
          <w:rFonts w:cstheme="minorHAnsi"/>
        </w:rPr>
        <w:sectPr w:rsidR="00C81778" w:rsidSect="000F711E">
          <w:footerReference w:type="default" r:id="rId13"/>
          <w:footerReference w:type="first" r:id="rId14"/>
          <w:pgSz w:w="16838" w:h="11906" w:orient="landscape"/>
          <w:pgMar w:top="709" w:right="1134" w:bottom="142" w:left="1134" w:header="0" w:footer="708" w:gutter="0"/>
          <w:cols w:space="1701"/>
          <w:docGrid w:linePitch="360"/>
        </w:sectPr>
      </w:pPr>
      <w:r>
        <w:rPr>
          <w:rFonts w:cstheme="minorHAnsi"/>
        </w:rPr>
        <w:t xml:space="preserve">* Эксплуатируется ПАО «ОГК-2». </w:t>
      </w:r>
    </w:p>
    <w:p w:rsidR="00C81778" w:rsidRDefault="00AB0D4E">
      <w:pPr>
        <w:pStyle w:val="31"/>
        <w:keepLines/>
        <w:spacing w:before="120" w:after="0"/>
        <w:rPr>
          <w:rFonts w:asciiTheme="minorHAnsi" w:eastAsiaTheme="majorEastAsia" w:hAnsiTheme="minorHAnsi" w:cstheme="minorHAnsi"/>
          <w:color w:val="1F3763" w:themeColor="accent1" w:themeShade="7F"/>
          <w:sz w:val="22"/>
          <w:szCs w:val="22"/>
        </w:rPr>
      </w:pPr>
      <w:bookmarkStart w:id="12" w:name="_Toc74133339"/>
      <w:bookmarkStart w:id="13" w:name="_Toc68593566"/>
      <w:bookmarkStart w:id="14" w:name="_Toc66967674"/>
      <w:bookmarkStart w:id="15" w:name="_Toc35448392"/>
      <w:bookmarkStart w:id="16" w:name="_Toc11066877"/>
      <w:bookmarkStart w:id="17" w:name="_Toc506553199"/>
      <w:bookmarkStart w:id="18" w:name="_Toc479858731"/>
      <w:r>
        <w:rPr>
          <w:rFonts w:asciiTheme="minorHAnsi" w:eastAsiaTheme="majorEastAsia" w:hAnsiTheme="minorHAnsi" w:cstheme="minorHAnsi"/>
          <w:color w:val="1F3763" w:themeColor="accent1" w:themeShade="7F"/>
          <w:sz w:val="22"/>
          <w:szCs w:val="22"/>
        </w:rPr>
        <w:lastRenderedPageBreak/>
        <w:t>Структура капитал</w:t>
      </w:r>
      <w:bookmarkEnd w:id="12"/>
      <w:bookmarkEnd w:id="13"/>
      <w:bookmarkEnd w:id="14"/>
      <w:bookmarkEnd w:id="15"/>
      <w:bookmarkEnd w:id="16"/>
      <w:bookmarkEnd w:id="17"/>
      <w:bookmarkEnd w:id="18"/>
      <w:r>
        <w:rPr>
          <w:rFonts w:asciiTheme="minorHAnsi" w:eastAsiaTheme="majorEastAsia" w:hAnsiTheme="minorHAnsi" w:cstheme="minorHAnsi"/>
          <w:color w:val="1F3763" w:themeColor="accent1" w:themeShade="7F"/>
          <w:sz w:val="22"/>
          <w:szCs w:val="22"/>
        </w:rPr>
        <w:t xml:space="preserve">а Компании </w:t>
      </w:r>
    </w:p>
    <w:p w:rsidR="00C81778" w:rsidRDefault="00AB0D4E">
      <w:pPr>
        <w:spacing w:before="120" w:after="0" w:line="240" w:lineRule="auto"/>
        <w:jc w:val="both"/>
        <w:rPr>
          <w:rFonts w:eastAsiaTheme="minorEastAsia" w:cstheme="minorHAnsi"/>
          <w:lang w:eastAsia="ru-RU"/>
        </w:rPr>
      </w:pPr>
      <w:r>
        <w:rPr>
          <w:rFonts w:eastAsiaTheme="minorEastAsia" w:cstheme="minorHAnsi"/>
          <w:lang w:eastAsia="ru-RU"/>
        </w:rPr>
        <w:t xml:space="preserve">Количество акционеров компании: </w:t>
      </w:r>
      <w:r>
        <w:rPr>
          <w:rFonts w:eastAsiaTheme="minorEastAsia" w:cstheme="minorHAnsi"/>
          <w:b/>
          <w:lang w:eastAsia="ru-RU"/>
        </w:rPr>
        <w:t>307 602.</w:t>
      </w:r>
    </w:p>
    <w:p w:rsidR="00C81778" w:rsidRDefault="00AB0D4E">
      <w:pPr>
        <w:spacing w:before="120" w:after="0" w:line="240" w:lineRule="auto"/>
        <w:jc w:val="both"/>
        <w:rPr>
          <w:rFonts w:eastAsiaTheme="minorEastAsia" w:cstheme="minorHAnsi"/>
          <w:lang w:eastAsia="ru-RU"/>
        </w:rPr>
      </w:pPr>
      <w:r>
        <w:rPr>
          <w:rFonts w:eastAsiaTheme="minorEastAsia" w:cstheme="minorHAnsi"/>
          <w:lang w:eastAsia="ru-RU"/>
        </w:rPr>
        <w:t xml:space="preserve">Сведения о количестве голосующих акций с разбивкой по категориям (типам) акций, а также о количестве акций, находящихся в распоряжении Компании и подконтрольных ему юридических лиц: </w:t>
      </w:r>
      <w:r>
        <w:rPr>
          <w:rFonts w:eastAsiaTheme="minorEastAsia" w:cstheme="minorHAnsi"/>
          <w:b/>
          <w:lang w:eastAsia="ru-RU"/>
        </w:rPr>
        <w:t>110 441 160 870 акции обыкновенные номинальной стоимостью 0,3627 руб., государственный регистрационный номер 1-02-65105-D от 19.04.2007.</w:t>
      </w:r>
    </w:p>
    <w:p w:rsidR="00C81778" w:rsidRDefault="00AB0D4E">
      <w:pPr>
        <w:pBdr>
          <w:top w:val="single" w:sz="4" w:space="1" w:color="000000"/>
          <w:left w:val="single" w:sz="4" w:space="4" w:color="000000"/>
          <w:bottom w:val="single" w:sz="4" w:space="1" w:color="000000"/>
          <w:right w:val="single" w:sz="4" w:space="4" w:color="000000"/>
        </w:pBdr>
        <w:shd w:val="clear" w:color="auto" w:fill="DEEAF6" w:themeFill="accent5" w:themeFillTint="33"/>
        <w:spacing w:before="120" w:after="0" w:line="240" w:lineRule="auto"/>
        <w:jc w:val="both"/>
        <w:rPr>
          <w:rFonts w:eastAsiaTheme="minorEastAsia" w:cstheme="minorHAnsi"/>
          <w:bCs/>
          <w:lang w:eastAsia="ru-RU"/>
        </w:rPr>
      </w:pPr>
      <w:r>
        <w:rPr>
          <w:rFonts w:eastAsiaTheme="minorEastAsia" w:cstheme="minorHAnsi"/>
          <w:bCs/>
          <w:lang w:eastAsia="ru-RU"/>
        </w:rPr>
        <w:t>Находящиеся в распоряжении Компании и подконтрольных ему юридических лиц акции отсутствуют.</w:t>
      </w:r>
    </w:p>
    <w:p w:rsidR="00C81778" w:rsidRDefault="00C81778">
      <w:pPr>
        <w:spacing w:before="120" w:after="0" w:line="240" w:lineRule="auto"/>
        <w:jc w:val="both"/>
        <w:rPr>
          <w:rFonts w:eastAsiaTheme="minorEastAsia" w:cstheme="minorHAnsi"/>
          <w:lang w:eastAsia="ru-RU"/>
        </w:rPr>
      </w:pPr>
    </w:p>
    <w:p w:rsidR="00C81778" w:rsidRDefault="00AB0D4E">
      <w:pPr>
        <w:spacing w:before="120" w:after="0" w:line="240" w:lineRule="auto"/>
        <w:jc w:val="both"/>
        <w:rPr>
          <w:rFonts w:eastAsiaTheme="minorEastAsia" w:cstheme="minorHAnsi"/>
          <w:lang w:eastAsia="ru-RU"/>
        </w:rPr>
      </w:pPr>
      <w:r>
        <w:rPr>
          <w:rFonts w:eastAsiaTheme="minorEastAsia" w:cstheme="minorHAnsi"/>
          <w:lang w:eastAsia="ru-RU"/>
        </w:rPr>
        <w:t>Сведения о лицах, которые прямо или косвенно владеют акциями, и (или) распоряжаются голосами по акциям, и (или) являются выгодоприобретателями по акциям Компании, составляющих пять и более процентов уставного капитала или обыкновенных акций компании:</w:t>
      </w:r>
    </w:p>
    <w:tbl>
      <w:tblPr>
        <w:tblW w:w="9345" w:type="dxa"/>
        <w:tblLayout w:type="fixed"/>
        <w:tblLook w:val="04A0" w:firstRow="1" w:lastRow="0" w:firstColumn="1" w:lastColumn="0" w:noHBand="0" w:noVBand="1"/>
      </w:tblPr>
      <w:tblGrid>
        <w:gridCol w:w="4672"/>
        <w:gridCol w:w="4673"/>
      </w:tblGrid>
      <w:tr w:rsidR="00C81778">
        <w:tc>
          <w:tcPr>
            <w:tcW w:w="4672" w:type="dxa"/>
            <w:shd w:val="clear" w:color="auto" w:fill="DEEAF6" w:themeFill="accent5" w:themeFillTint="33"/>
          </w:tcPr>
          <w:p w:rsidR="00C81778" w:rsidRDefault="00AB0D4E" w:rsidP="00AB0D4E">
            <w:pPr>
              <w:widowControl w:val="0"/>
              <w:numPr>
                <w:ilvl w:val="0"/>
                <w:numId w:val="19"/>
              </w:numPr>
              <w:spacing w:before="120" w:after="0" w:line="240" w:lineRule="auto"/>
              <w:ind w:left="284" w:hanging="284"/>
              <w:jc w:val="both"/>
              <w:rPr>
                <w:rFonts w:eastAsiaTheme="minorEastAsia" w:cstheme="minorHAnsi"/>
                <w:lang w:eastAsia="ru-RU"/>
              </w:rPr>
            </w:pPr>
            <w:r>
              <w:rPr>
                <w:rFonts w:eastAsiaTheme="minorEastAsia" w:cstheme="minorHAnsi"/>
                <w:b/>
                <w:i/>
                <w:lang w:eastAsia="ru-RU"/>
              </w:rPr>
              <w:t>Публичное акционерное общество «Газпром»</w:t>
            </w:r>
          </w:p>
          <w:p w:rsidR="00C81778" w:rsidRDefault="00AB0D4E">
            <w:pPr>
              <w:widowControl w:val="0"/>
              <w:spacing w:before="120" w:after="0" w:line="240" w:lineRule="auto"/>
              <w:jc w:val="both"/>
              <w:rPr>
                <w:rFonts w:cstheme="minorHAnsi"/>
              </w:rPr>
            </w:pPr>
            <w:r>
              <w:rPr>
                <w:rFonts w:eastAsiaTheme="minorEastAsia" w:cstheme="minorHAnsi"/>
                <w:lang w:eastAsia="ru-RU"/>
              </w:rPr>
              <w:t xml:space="preserve">Размер доли голосов в процентах, приходящихся на голосующие акции, составляющие уставный капитал ПАО «ОГК-2»: </w:t>
            </w:r>
            <w:r>
              <w:rPr>
                <w:rFonts w:eastAsiaTheme="minorEastAsia" w:cstheme="minorHAnsi"/>
                <w:b/>
                <w:i/>
                <w:lang w:eastAsia="ru-RU"/>
              </w:rPr>
              <w:t>81,03% (косвенное распоряжение)</w:t>
            </w:r>
          </w:p>
        </w:tc>
        <w:tc>
          <w:tcPr>
            <w:tcW w:w="4672" w:type="dxa"/>
            <w:shd w:val="clear" w:color="auto" w:fill="FFF2CC" w:themeFill="accent4" w:themeFillTint="33"/>
          </w:tcPr>
          <w:p w:rsidR="00C81778" w:rsidRDefault="00AB0D4E">
            <w:pPr>
              <w:spacing w:before="120" w:after="0" w:line="240" w:lineRule="auto"/>
              <w:jc w:val="both"/>
              <w:rPr>
                <w:rFonts w:cstheme="minorHAnsi"/>
              </w:rPr>
            </w:pPr>
            <w:r>
              <w:rPr>
                <w:rFonts w:eastAsiaTheme="minorEastAsia" w:cstheme="minorHAnsi"/>
                <w:i/>
                <w:lang w:eastAsia="ru-RU"/>
              </w:rPr>
              <w:t>2</w:t>
            </w:r>
            <w:r>
              <w:rPr>
                <w:rFonts w:eastAsiaTheme="minorEastAsia" w:cstheme="minorHAnsi"/>
                <w:lang w:eastAsia="ru-RU"/>
              </w:rPr>
              <w:t xml:space="preserve">. </w:t>
            </w:r>
            <w:r>
              <w:rPr>
                <w:rFonts w:eastAsiaTheme="minorEastAsia" w:cstheme="minorHAnsi"/>
                <w:b/>
                <w:i/>
                <w:shd w:val="clear" w:color="auto" w:fill="FFF2CC"/>
                <w:lang w:eastAsia="ru-RU"/>
              </w:rPr>
              <w:t>Публичное акционерное общество «</w:t>
            </w:r>
            <w:proofErr w:type="spellStart"/>
            <w:proofErr w:type="gramStart"/>
            <w:r>
              <w:rPr>
                <w:rFonts w:eastAsiaTheme="minorEastAsia" w:cstheme="minorHAnsi"/>
                <w:b/>
                <w:i/>
                <w:shd w:val="clear" w:color="auto" w:fill="FFF2CC"/>
                <w:lang w:eastAsia="ru-RU"/>
              </w:rPr>
              <w:t>Центрэнергохолдинг</w:t>
            </w:r>
            <w:proofErr w:type="spellEnd"/>
            <w:r>
              <w:rPr>
                <w:rFonts w:eastAsiaTheme="minorEastAsia" w:cstheme="minorHAnsi"/>
                <w:b/>
                <w:i/>
                <w:shd w:val="clear" w:color="auto" w:fill="FFF2CC"/>
                <w:lang w:eastAsia="ru-RU"/>
              </w:rPr>
              <w:t>»</w:t>
            </w:r>
            <w:r>
              <w:rPr>
                <w:rFonts w:eastAsiaTheme="minorEastAsia" w:cstheme="minorHAnsi"/>
                <w:b/>
                <w:i/>
                <w:shd w:val="clear" w:color="auto" w:fill="FFF2CC"/>
                <w:lang w:eastAsia="ru-RU"/>
              </w:rPr>
              <w:br w:type="textWrapping" w:clear="all"/>
            </w:r>
            <w:r>
              <w:rPr>
                <w:rFonts w:eastAsiaTheme="minorEastAsia" w:cstheme="minorHAnsi"/>
                <w:shd w:val="clear" w:color="auto" w:fill="FFF2CC"/>
                <w:lang w:eastAsia="ru-RU"/>
              </w:rPr>
              <w:t>Размер</w:t>
            </w:r>
            <w:proofErr w:type="gramEnd"/>
            <w:r>
              <w:rPr>
                <w:rFonts w:eastAsiaTheme="minorEastAsia" w:cstheme="minorHAnsi"/>
                <w:shd w:val="clear" w:color="auto" w:fill="FFF2CC"/>
                <w:lang w:eastAsia="ru-RU"/>
              </w:rPr>
              <w:t xml:space="preserve"> доли голосов в процентах, приходящихся на голосующие акции, составляющие уставный капитал ПАО «ОГК-2»:</w:t>
            </w:r>
            <w:r>
              <w:rPr>
                <w:rFonts w:eastAsiaTheme="minorEastAsia" w:cstheme="minorHAnsi"/>
                <w:b/>
                <w:i/>
                <w:shd w:val="clear" w:color="auto" w:fill="FFF2CC"/>
                <w:lang w:eastAsia="ru-RU"/>
              </w:rPr>
              <w:t xml:space="preserve"> 73,42% (прямое распоряжение)</w:t>
            </w:r>
          </w:p>
        </w:tc>
      </w:tr>
      <w:tr w:rsidR="00C81778">
        <w:tc>
          <w:tcPr>
            <w:tcW w:w="9344" w:type="dxa"/>
            <w:gridSpan w:val="2"/>
            <w:shd w:val="clear" w:color="auto" w:fill="EDEDED" w:themeFill="accent3" w:themeFillTint="33"/>
          </w:tcPr>
          <w:p w:rsidR="00C81778" w:rsidRDefault="00AB0D4E">
            <w:pPr>
              <w:widowControl w:val="0"/>
              <w:spacing w:before="120" w:after="0" w:line="240" w:lineRule="auto"/>
              <w:jc w:val="both"/>
              <w:rPr>
                <w:rFonts w:cstheme="minorHAnsi"/>
              </w:rPr>
            </w:pPr>
            <w:r>
              <w:rPr>
                <w:rFonts w:eastAsiaTheme="minorEastAsia" w:cstheme="minorHAnsi"/>
                <w:i/>
                <w:lang w:eastAsia="ru-RU"/>
              </w:rPr>
              <w:t>3</w:t>
            </w:r>
            <w:r>
              <w:rPr>
                <w:rFonts w:eastAsiaTheme="minorEastAsia" w:cstheme="minorHAnsi"/>
                <w:b/>
                <w:i/>
                <w:lang w:eastAsia="ru-RU"/>
              </w:rPr>
              <w:t xml:space="preserve">. Общество с ограниченной ответственностью «Газпром </w:t>
            </w:r>
            <w:proofErr w:type="spellStart"/>
            <w:proofErr w:type="gramStart"/>
            <w:r>
              <w:rPr>
                <w:rFonts w:eastAsiaTheme="minorEastAsia" w:cstheme="minorHAnsi"/>
                <w:b/>
                <w:i/>
                <w:lang w:eastAsia="ru-RU"/>
              </w:rPr>
              <w:t>энергохолдинг</w:t>
            </w:r>
            <w:proofErr w:type="spellEnd"/>
            <w:r>
              <w:rPr>
                <w:rFonts w:eastAsiaTheme="minorEastAsia" w:cstheme="minorHAnsi"/>
                <w:b/>
                <w:i/>
                <w:lang w:eastAsia="ru-RU"/>
              </w:rPr>
              <w:t>»</w:t>
            </w:r>
            <w:r>
              <w:rPr>
                <w:rFonts w:eastAsiaTheme="minorEastAsia" w:cstheme="minorHAnsi"/>
                <w:b/>
                <w:i/>
                <w:lang w:eastAsia="ru-RU"/>
              </w:rPr>
              <w:br/>
            </w:r>
            <w:r>
              <w:rPr>
                <w:rFonts w:eastAsiaTheme="minorEastAsia" w:cstheme="minorHAnsi"/>
                <w:lang w:eastAsia="ru-RU"/>
              </w:rPr>
              <w:t>Размер</w:t>
            </w:r>
            <w:proofErr w:type="gramEnd"/>
            <w:r>
              <w:rPr>
                <w:rFonts w:eastAsiaTheme="minorEastAsia" w:cstheme="minorHAnsi"/>
                <w:lang w:eastAsia="ru-RU"/>
              </w:rPr>
              <w:t xml:space="preserve"> доли голосов в процентах, приходящихся на голосующие акции, составляющие уставный капитал ПАО «ОГК-2»: </w:t>
            </w:r>
            <w:r>
              <w:rPr>
                <w:rFonts w:eastAsiaTheme="minorEastAsia" w:cstheme="minorHAnsi"/>
                <w:b/>
                <w:i/>
                <w:lang w:eastAsia="ru-RU"/>
              </w:rPr>
              <w:t>7,54 % (прямое распоряжение)</w:t>
            </w:r>
            <w:r>
              <w:rPr>
                <w:rFonts w:eastAsia="Calibri" w:cstheme="minorHAnsi"/>
              </w:rPr>
              <w:t xml:space="preserve">; </w:t>
            </w:r>
            <w:r>
              <w:rPr>
                <w:rFonts w:eastAsiaTheme="minorEastAsia" w:cstheme="minorHAnsi"/>
                <w:b/>
                <w:i/>
                <w:lang w:eastAsia="ru-RU"/>
              </w:rPr>
              <w:t>73,31% (косвенное распоряжение)</w:t>
            </w:r>
          </w:p>
        </w:tc>
      </w:tr>
    </w:tbl>
    <w:p w:rsidR="00C81778" w:rsidRDefault="00C81778">
      <w:pPr>
        <w:spacing w:before="120" w:after="0" w:line="240" w:lineRule="auto"/>
        <w:jc w:val="both"/>
        <w:rPr>
          <w:rFonts w:cstheme="minorHAnsi"/>
        </w:rPr>
      </w:pPr>
    </w:p>
    <w:tbl>
      <w:tblPr>
        <w:tblW w:w="9345" w:type="dxa"/>
        <w:tblLayout w:type="fixed"/>
        <w:tblLook w:val="04A0" w:firstRow="1" w:lastRow="0" w:firstColumn="1" w:lastColumn="0" w:noHBand="0" w:noVBand="1"/>
      </w:tblPr>
      <w:tblGrid>
        <w:gridCol w:w="9345"/>
      </w:tblGrid>
      <w:tr w:rsidR="00C81778">
        <w:trPr>
          <w:trHeight w:val="722"/>
        </w:trPr>
        <w:tc>
          <w:tcPr>
            <w:tcW w:w="9345" w:type="dxa"/>
            <w:shd w:val="clear" w:color="auto" w:fill="D9E2F3" w:themeFill="accent1" w:themeFillTint="33"/>
          </w:tcPr>
          <w:p w:rsidR="00C81778" w:rsidRDefault="00AB0D4E">
            <w:pPr>
              <w:spacing w:before="120" w:after="0" w:line="240" w:lineRule="auto"/>
              <w:jc w:val="both"/>
              <w:rPr>
                <w:rFonts w:cstheme="minorHAnsi"/>
                <w:i/>
              </w:rPr>
            </w:pPr>
            <w:r>
              <w:rPr>
                <w:rFonts w:eastAsia="Calibri" w:cstheme="minorHAnsi"/>
                <w:b/>
              </w:rPr>
              <w:t>Заявление Генерального директора управляющей организации ПАО «ОГК-2»</w:t>
            </w:r>
          </w:p>
          <w:p w:rsidR="00C81778" w:rsidRDefault="00C81778">
            <w:pPr>
              <w:spacing w:before="120" w:after="0" w:line="240" w:lineRule="auto"/>
              <w:jc w:val="both"/>
              <w:rPr>
                <w:rFonts w:cstheme="minorHAnsi"/>
                <w:i/>
              </w:rPr>
            </w:pPr>
          </w:p>
          <w:p w:rsidR="00C81778" w:rsidRDefault="00AB0D4E">
            <w:pPr>
              <w:spacing w:before="120" w:after="0" w:line="240" w:lineRule="auto"/>
              <w:jc w:val="both"/>
              <w:rPr>
                <w:rFonts w:cstheme="minorHAnsi"/>
                <w:i/>
              </w:rPr>
            </w:pPr>
            <w:r>
              <w:rPr>
                <w:rFonts w:eastAsia="Calibri" w:cstheme="minorHAnsi"/>
                <w:i/>
              </w:rPr>
              <w:t>Акционеры-выгодоприобретатели по акциям ПАО «ОГК-2», составляющим 5% и более капитала Общества, за исключением прямо поименованных в сведениях о структуре акционерного капитала, отсутствуют.</w:t>
            </w:r>
          </w:p>
          <w:p w:rsidR="00C81778" w:rsidRDefault="00C81778">
            <w:pPr>
              <w:spacing w:before="120" w:after="0" w:line="240" w:lineRule="auto"/>
              <w:rPr>
                <w:rFonts w:cstheme="minorHAnsi"/>
              </w:rPr>
            </w:pPr>
          </w:p>
        </w:tc>
      </w:tr>
    </w:tbl>
    <w:p w:rsidR="00C81778" w:rsidRDefault="00C81778">
      <w:pPr>
        <w:spacing w:before="120" w:after="0" w:line="240" w:lineRule="auto"/>
        <w:jc w:val="both"/>
        <w:rPr>
          <w:rFonts w:eastAsiaTheme="minorEastAsia" w:cstheme="minorHAnsi"/>
          <w:b/>
          <w:lang w:eastAsia="ru-RU"/>
        </w:rPr>
      </w:pPr>
    </w:p>
    <w:p w:rsidR="00C81778" w:rsidRDefault="00AB0D4E">
      <w:pPr>
        <w:spacing w:before="120" w:after="0" w:line="240" w:lineRule="auto"/>
        <w:jc w:val="both"/>
        <w:rPr>
          <w:rFonts w:eastAsiaTheme="minorEastAsia" w:cstheme="minorHAnsi"/>
          <w:b/>
          <w:lang w:eastAsia="ru-RU"/>
        </w:rPr>
      </w:pPr>
      <w:r>
        <w:rPr>
          <w:rFonts w:eastAsiaTheme="minorEastAsia" w:cstheme="minorHAnsi"/>
          <w:b/>
          <w:lang w:eastAsia="ru-RU"/>
        </w:rPr>
        <w:t>У ПАО «ОГК-2» отсутствуют сведения о возможности приобретения или о приобретении определенными акционерами степени контроля, несоразмерной их участию в уставном капитале Компании, в том числе на основании акционерных соглашений или в силу наличия обыкновенных акций ПАО «ОГК-2».</w:t>
      </w:r>
    </w:p>
    <w:p w:rsidR="00C81778" w:rsidRDefault="00C81778">
      <w:pPr>
        <w:spacing w:before="120" w:after="0" w:line="240" w:lineRule="auto"/>
        <w:jc w:val="both"/>
        <w:rPr>
          <w:rFonts w:eastAsiaTheme="minorEastAsia" w:cstheme="minorHAnsi"/>
          <w:lang w:eastAsia="ru-RU"/>
        </w:rPr>
      </w:pPr>
    </w:p>
    <w:p w:rsidR="00C81778" w:rsidRDefault="00AB0D4E">
      <w:pPr>
        <w:pStyle w:val="41"/>
        <w:keepLines/>
        <w:spacing w:before="120" w:after="0"/>
        <w:ind w:left="0"/>
        <w:jc w:val="both"/>
        <w:rPr>
          <w:rFonts w:asciiTheme="minorHAnsi" w:eastAsiaTheme="majorEastAsia" w:hAnsiTheme="minorHAnsi" w:cstheme="minorHAnsi"/>
          <w:i/>
          <w:iCs/>
          <w:color w:val="2F5496" w:themeColor="accent1" w:themeShade="BF"/>
          <w:sz w:val="22"/>
          <w:szCs w:val="22"/>
          <w:lang w:val="ru-RU"/>
        </w:rPr>
      </w:pPr>
      <w:r>
        <w:rPr>
          <w:rFonts w:asciiTheme="minorHAnsi" w:eastAsiaTheme="majorEastAsia" w:hAnsiTheme="minorHAnsi" w:cstheme="minorHAnsi"/>
          <w:i/>
          <w:iCs/>
          <w:color w:val="2F5496" w:themeColor="accent1" w:themeShade="BF"/>
          <w:sz w:val="22"/>
          <w:szCs w:val="22"/>
          <w:lang w:val="ru-RU"/>
        </w:rPr>
        <w:t>Акции</w:t>
      </w:r>
    </w:p>
    <w:p w:rsidR="00C81778" w:rsidRDefault="00AB0D4E">
      <w:pPr>
        <w:widowControl w:val="0"/>
        <w:spacing w:before="120" w:after="0" w:line="240" w:lineRule="auto"/>
        <w:jc w:val="both"/>
        <w:rPr>
          <w:rFonts w:eastAsia="Times New Roman" w:cstheme="minorHAnsi"/>
          <w:lang w:eastAsia="ru-RU"/>
        </w:rPr>
      </w:pPr>
      <w:r>
        <w:rPr>
          <w:rFonts w:eastAsia="Times New Roman" w:cstheme="minorHAnsi"/>
          <w:lang w:eastAsia="ru-RU"/>
        </w:rPr>
        <w:t>Акции ПАО «ОГК-2» обращаются на основной торговой площадке российского фондового рынка – ПАО «Московская Биржа ММВБ-РТС». Торги акциями ПАО «ОГК-2» осуществлялись с июля 2006 г. на фондовых биржах ЗАО «ФБ ММВБ» и ОАО «РТС». 06.11.2009 акции Общества были включены в котировальный список «А» первого уровня ЗАО «ФБ ММВБ». 28.05.2013 акции Общества были переведены из раздела «Котировальный список «А» первого уровня» в раздел «Котировальный список «Б» списка ценных бумаг, допущенных к торгам в ПАО Московская Биржа. 09.06.2014 в связи с реформой листинга акции Общества были отнесены ко Второму уровню.</w:t>
      </w:r>
    </w:p>
    <w:p w:rsidR="00C81778" w:rsidRDefault="00AB0D4E">
      <w:pPr>
        <w:pStyle w:val="affff6"/>
        <w:spacing w:before="120"/>
        <w:jc w:val="both"/>
        <w:rPr>
          <w:rFonts w:asciiTheme="minorHAnsi" w:hAnsiTheme="minorHAnsi" w:cstheme="minorHAnsi"/>
          <w:sz w:val="22"/>
          <w:szCs w:val="22"/>
        </w:rPr>
      </w:pPr>
      <w:r>
        <w:rPr>
          <w:rFonts w:asciiTheme="minorHAnsi" w:hAnsiTheme="minorHAnsi" w:cstheme="minorHAnsi"/>
          <w:sz w:val="22"/>
          <w:szCs w:val="22"/>
        </w:rPr>
        <w:t>Акции ПАО «ОГК-2» входят в базу расчета отраслевого индекса электроэнергетики – вес акции составляет 4,55%.</w:t>
      </w:r>
    </w:p>
    <w:p w:rsidR="00C81778" w:rsidRDefault="00AB0D4E">
      <w:pPr>
        <w:pStyle w:val="affff6"/>
        <w:spacing w:before="120"/>
        <w:jc w:val="both"/>
        <w:rPr>
          <w:rFonts w:asciiTheme="minorHAnsi" w:hAnsiTheme="minorHAnsi" w:cstheme="minorHAnsi"/>
          <w:sz w:val="22"/>
          <w:szCs w:val="22"/>
        </w:rPr>
      </w:pPr>
      <w:r>
        <w:rPr>
          <w:rFonts w:ascii="Calibri" w:hAnsi="Calibri" w:cstheme="minorHAnsi"/>
          <w:noProof/>
          <w:sz w:val="22"/>
          <w:szCs w:val="22"/>
        </w:rPr>
        <w:lastRenderedPageBreak/>
        <mc:AlternateContent>
          <mc:Choice Requires="wps">
            <w:drawing>
              <wp:anchor distT="0" distB="17145" distL="102870" distR="117475" simplePos="0" relativeHeight="5" behindDoc="0" locked="0" layoutInCell="0" allowOverlap="1">
                <wp:simplePos x="0" y="0"/>
                <wp:positionH relativeFrom="column">
                  <wp:posOffset>11430</wp:posOffset>
                </wp:positionH>
                <wp:positionV relativeFrom="paragraph">
                  <wp:posOffset>208280</wp:posOffset>
                </wp:positionV>
                <wp:extent cx="1323340" cy="586105"/>
                <wp:effectExtent l="6985" t="7620" r="6985" b="6350"/>
                <wp:wrapSquare wrapText="bothSides"/>
                <wp:docPr id="5" name="Прямоугольник: скругленные углы 43009"/>
                <wp:cNvGraphicFramePr/>
                <a:graphic xmlns:a="http://schemas.openxmlformats.org/drawingml/2006/main">
                  <a:graphicData uri="http://schemas.microsoft.com/office/word/2010/wordprocessingShape">
                    <wps:wsp>
                      <wps:cNvSpPr/>
                      <wps:spPr bwMode="auto">
                        <a:xfrm>
                          <a:off x="0" y="0"/>
                          <a:ext cx="1323360" cy="586080"/>
                        </a:xfrm>
                        <a:prstGeom prst="roundRect">
                          <a:avLst>
                            <a:gd name="adj" fmla="val 16667"/>
                          </a:avLst>
                        </a:prstGeom>
                        <a:solidFill>
                          <a:srgbClr val="FFFFFF"/>
                        </a:solidFill>
                        <a:ln>
                          <a:solidFill>
                            <a:srgbClr val="4472C4"/>
                          </a:solidFill>
                        </a:ln>
                      </wps:spPr>
                      <wps:style>
                        <a:lnRef idx="2">
                          <a:schemeClr val="accent1"/>
                        </a:lnRef>
                        <a:fillRef idx="1">
                          <a:schemeClr val="lt1"/>
                        </a:fillRef>
                        <a:effectRef idx="0">
                          <a:schemeClr val="accent1"/>
                        </a:effectRef>
                        <a:fontRef idx="minor"/>
                      </wps:style>
                      <wps:txbx>
                        <w:txbxContent>
                          <w:p w:rsidR="00C81778" w:rsidRDefault="00AB0D4E">
                            <w:pPr>
                              <w:pStyle w:val="affffffb"/>
                              <w:spacing w:after="0" w:line="240" w:lineRule="auto"/>
                              <w:jc w:val="center"/>
                              <w:rPr>
                                <w:color w:val="000000" w:themeColor="text1"/>
                                <w:sz w:val="28"/>
                                <w:szCs w:val="28"/>
                                <w:lang w:val="en-US"/>
                                <w14:textOutline w14:w="0" w14:cap="flat" w14:cmpd="sng" w14:algn="ctr">
                                  <w14:noFill/>
                                  <w14:prstDash w14:val="solid"/>
                                  <w14:round/>
                                </w14:textOutline>
                              </w:rPr>
                            </w:pPr>
                            <w:r>
                              <w:rPr>
                                <w:color w:val="000000" w:themeColor="text1"/>
                                <w:sz w:val="28"/>
                                <w:szCs w:val="28"/>
                                <w14:textOutline w14:w="0" w14:cap="flat" w14:cmpd="sng" w14:algn="ctr">
                                  <w14:noFill/>
                                  <w14:prstDash w14:val="solid"/>
                                  <w14:round/>
                                </w14:textOutline>
                              </w:rPr>
                              <w:t xml:space="preserve">19% </w:t>
                            </w:r>
                            <w:r>
                              <w:rPr>
                                <w:color w:val="000000" w:themeColor="text1"/>
                                <w:sz w:val="28"/>
                                <w:szCs w:val="28"/>
                                <w:lang w:val="en-US"/>
                                <w14:textOutline w14:w="0" w14:cap="flat" w14:cmpd="sng" w14:algn="ctr">
                                  <w14:noFill/>
                                  <w14:prstDash w14:val="solid"/>
                                  <w14:round/>
                                </w14:textOutline>
                              </w:rPr>
                              <w:t>free-float</w:t>
                            </w:r>
                          </w:p>
                        </w:txbxContent>
                      </wps:txbx>
                      <wps:bodyPr anchor="ctr">
                        <a:prstTxWarp prst="textNoShape">
                          <a:avLst/>
                        </a:prstTxWarp>
                        <a:noAutofit/>
                      </wps:bodyPr>
                    </wps:wsp>
                  </a:graphicData>
                </a:graphic>
              </wp:anchor>
            </w:drawing>
          </mc:Choice>
          <mc:Fallback>
            <w:pict>
              <v:roundrect id="Прямоугольник: скругленные углы 43009" o:spid="_x0000_s1026" style="position:absolute;left:0;text-align:left;margin-left:.9pt;margin-top:16.4pt;width:104.2pt;height:46.15pt;z-index:5;visibility:visible;mso-wrap-style:square;mso-wrap-distance-left:8.1pt;mso-wrap-distance-top:0;mso-wrap-distance-right:9.25pt;mso-wrap-distance-bottom:1.35pt;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" o:allowincell="f" strokecolor="#4472c4" strokeweight="1pt">
                <v:stroke joinstyle="miter"/>
                <v:textbox>
                  <w:txbxContent>
                    <w:p w:rsidR="00C81778" w:rsidRDefault="00AB0D4E">
                      <w:pPr>
                        <w:pStyle w:val="affffffb"/>
                        <w:spacing w:after="0" w:line="240" w:lineRule="auto"/>
                        <w:jc w:val="center"/>
                        <w:rPr>
                          <w:color w:val="000000" w:themeColor="text1"/>
                          <w:sz w:val="28"/>
                          <w:szCs w:val="28"/>
                          <w:lang w:val="en-US"/>
                          <w14:textOutline w14:w="0" w14:cap="flat" w14:cmpd="sng" w14:algn="ctr">
                            <w14:noFill/>
                            <w14:prstDash w14:val="solid"/>
                            <w14:round/>
                          </w14:textOutline>
                        </w:rPr>
                      </w:pPr>
                      <w:r>
                        <w:rPr>
                          <w:color w:val="000000" w:themeColor="text1"/>
                          <w:sz w:val="28"/>
                          <w:szCs w:val="28"/>
                          <w14:textOutline w14:w="0" w14:cap="flat" w14:cmpd="sng" w14:algn="ctr">
                            <w14:noFill/>
                            <w14:prstDash w14:val="solid"/>
                            <w14:round/>
                          </w14:textOutline>
                        </w:rPr>
                        <w:t xml:space="preserve">19% </w:t>
                      </w:r>
                      <w:r>
                        <w:rPr>
                          <w:color w:val="000000" w:themeColor="text1"/>
                          <w:sz w:val="28"/>
                          <w:szCs w:val="28"/>
                          <w:lang w:val="en-US"/>
                          <w14:textOutline w14:w="0" w14:cap="flat" w14:cmpd="sng" w14:algn="ctr">
                            <w14:noFill/>
                            <w14:prstDash w14:val="solid"/>
                            <w14:round/>
                          </w14:textOutline>
                        </w:rPr>
                        <w:t>free-float</w:t>
                      </w:r>
                    </w:p>
                  </w:txbxContent>
                </v:textbox>
                <w10:wrap type="square"/>
              </v:roundrect>
            </w:pict>
          </mc:Fallback>
        </mc:AlternateContent>
      </w:r>
    </w:p>
    <w:p w:rsidR="00C81778" w:rsidRDefault="00AB0D4E">
      <w:pPr>
        <w:pStyle w:val="affff6"/>
        <w:spacing w:before="120"/>
        <w:jc w:val="both"/>
        <w:rPr>
          <w:rFonts w:asciiTheme="minorHAnsi" w:hAnsiTheme="minorHAnsi" w:cstheme="minorHAnsi"/>
          <w:sz w:val="22"/>
          <w:szCs w:val="22"/>
        </w:rPr>
      </w:pPr>
      <w:r>
        <w:rPr>
          <w:rFonts w:asciiTheme="minorHAnsi" w:hAnsiTheme="minorHAnsi" w:cstheme="minorHAnsi"/>
          <w:sz w:val="22"/>
          <w:szCs w:val="22"/>
        </w:rPr>
        <w:t xml:space="preserve">Коэффициент </w:t>
      </w:r>
      <w:proofErr w:type="spellStart"/>
      <w:r>
        <w:rPr>
          <w:rFonts w:asciiTheme="minorHAnsi" w:hAnsiTheme="minorHAnsi" w:cstheme="minorHAnsi"/>
          <w:sz w:val="22"/>
          <w:szCs w:val="22"/>
        </w:rPr>
        <w:t>free-float</w:t>
      </w:r>
      <w:proofErr w:type="spellEnd"/>
      <w:r>
        <w:rPr>
          <w:rFonts w:asciiTheme="minorHAnsi" w:hAnsiTheme="minorHAnsi" w:cstheme="minorHAnsi"/>
          <w:sz w:val="22"/>
          <w:szCs w:val="22"/>
        </w:rPr>
        <w:t xml:space="preserve"> ПАО «ОГК-2», рассчитанный в соответствии с Методикой расчета коэффициента </w:t>
      </w:r>
      <w:proofErr w:type="spellStart"/>
      <w:r>
        <w:rPr>
          <w:rFonts w:asciiTheme="minorHAnsi" w:hAnsiTheme="minorHAnsi" w:cstheme="minorHAnsi"/>
          <w:sz w:val="22"/>
          <w:szCs w:val="22"/>
        </w:rPr>
        <w:t>free-float</w:t>
      </w:r>
      <w:proofErr w:type="spellEnd"/>
      <w:r>
        <w:rPr>
          <w:rFonts w:asciiTheme="minorHAnsi" w:hAnsiTheme="minorHAnsi" w:cstheme="minorHAnsi"/>
          <w:sz w:val="22"/>
          <w:szCs w:val="22"/>
        </w:rPr>
        <w:t>, утвержденной Правлением ПАО Московская Биржа (Протокол №58 от 17.08.2022), составляет 19%.</w:t>
      </w:r>
    </w:p>
    <w:p w:rsidR="00C81778" w:rsidRDefault="00C81778">
      <w:pPr>
        <w:pStyle w:val="affff6"/>
        <w:spacing w:before="120"/>
        <w:jc w:val="both"/>
        <w:rPr>
          <w:rFonts w:asciiTheme="minorHAnsi" w:hAnsiTheme="minorHAnsi" w:cstheme="minorHAnsi"/>
          <w:sz w:val="22"/>
          <w:szCs w:val="22"/>
        </w:rPr>
      </w:pPr>
    </w:p>
    <w:p w:rsidR="00C81778" w:rsidRDefault="00AB0D4E">
      <w:pPr>
        <w:pStyle w:val="41"/>
        <w:keepLines/>
        <w:spacing w:before="120" w:after="0"/>
        <w:ind w:left="0"/>
        <w:jc w:val="both"/>
        <w:rPr>
          <w:rFonts w:asciiTheme="minorHAnsi" w:eastAsiaTheme="majorEastAsia" w:hAnsiTheme="minorHAnsi" w:cstheme="minorHAnsi"/>
          <w:i/>
          <w:iCs/>
          <w:color w:val="2F5496" w:themeColor="accent1" w:themeShade="BF"/>
          <w:sz w:val="22"/>
          <w:szCs w:val="22"/>
          <w:lang w:val="ru-RU"/>
        </w:rPr>
      </w:pPr>
      <w:r>
        <w:rPr>
          <w:rFonts w:asciiTheme="minorHAnsi" w:eastAsiaTheme="majorEastAsia" w:hAnsiTheme="minorHAnsi" w:cstheme="minorHAnsi"/>
          <w:i/>
          <w:iCs/>
          <w:color w:val="2F5496" w:themeColor="accent1" w:themeShade="BF"/>
          <w:sz w:val="22"/>
          <w:szCs w:val="22"/>
          <w:lang w:val="ru-RU"/>
        </w:rPr>
        <w:t>Депозитарные расписки</w:t>
      </w:r>
    </w:p>
    <w:p w:rsidR="00C81778" w:rsidRDefault="00AB0D4E">
      <w:pPr>
        <w:spacing w:before="120" w:after="0" w:line="240" w:lineRule="auto"/>
        <w:jc w:val="both"/>
        <w:rPr>
          <w:rFonts w:eastAsia="Times New Roman" w:cstheme="minorHAnsi"/>
          <w:lang w:eastAsia="ru-RU"/>
        </w:rPr>
      </w:pPr>
      <w:r>
        <w:rPr>
          <w:rFonts w:eastAsia="Times New Roman" w:cstheme="minorHAnsi"/>
          <w:lang w:eastAsia="ru-RU"/>
        </w:rPr>
        <w:t xml:space="preserve">Программы депозитарных расписок ПАО «ОГК-2» отсутствуют. </w:t>
      </w:r>
    </w:p>
    <w:p w:rsidR="00C81778" w:rsidRDefault="00C81778">
      <w:pPr>
        <w:spacing w:before="120" w:after="0" w:line="240" w:lineRule="auto"/>
        <w:jc w:val="both"/>
        <w:rPr>
          <w:rFonts w:eastAsia="Times New Roman" w:cstheme="minorHAnsi"/>
          <w:lang w:eastAsia="ru-RU"/>
        </w:rPr>
      </w:pPr>
    </w:p>
    <w:p w:rsidR="00C81778" w:rsidRDefault="00AB0D4E">
      <w:pPr>
        <w:pStyle w:val="41"/>
        <w:keepLines/>
        <w:spacing w:before="120" w:after="0"/>
        <w:ind w:left="0"/>
        <w:jc w:val="both"/>
        <w:rPr>
          <w:rFonts w:asciiTheme="minorHAnsi" w:eastAsiaTheme="majorEastAsia" w:hAnsiTheme="minorHAnsi" w:cstheme="minorHAnsi"/>
          <w:i/>
          <w:iCs/>
          <w:color w:val="2F5496" w:themeColor="accent1" w:themeShade="BF"/>
          <w:sz w:val="22"/>
          <w:szCs w:val="22"/>
          <w:lang w:val="ru-RU"/>
        </w:rPr>
      </w:pPr>
      <w:r>
        <w:rPr>
          <w:rFonts w:asciiTheme="minorHAnsi" w:eastAsiaTheme="majorEastAsia" w:hAnsiTheme="minorHAnsi" w:cstheme="minorHAnsi"/>
          <w:i/>
          <w:iCs/>
          <w:color w:val="2F5496" w:themeColor="accent1" w:themeShade="BF"/>
          <w:sz w:val="22"/>
          <w:szCs w:val="22"/>
          <w:lang w:val="ru-RU"/>
        </w:rPr>
        <w:t xml:space="preserve">Облигации </w:t>
      </w:r>
    </w:p>
    <w:p w:rsidR="00C81778" w:rsidRDefault="00AB0D4E">
      <w:pPr>
        <w:keepNext/>
        <w:spacing w:before="120" w:after="0" w:line="240" w:lineRule="auto"/>
        <w:jc w:val="both"/>
        <w:rPr>
          <w:rFonts w:cstheme="minorHAnsi"/>
          <w:lang w:eastAsia="ru-RU"/>
        </w:rPr>
      </w:pPr>
      <w:r>
        <w:rPr>
          <w:rFonts w:cstheme="minorHAnsi"/>
          <w:lang w:eastAsia="ru-RU"/>
        </w:rPr>
        <w:t xml:space="preserve">По состоянию на 31.12.2023 у ПАО «ОГК-2» находится в обращении один облигационный </w:t>
      </w:r>
      <w:proofErr w:type="spellStart"/>
      <w:r>
        <w:rPr>
          <w:rFonts w:cstheme="minorHAnsi"/>
          <w:lang w:eastAsia="ru-RU"/>
        </w:rPr>
        <w:t>займ</w:t>
      </w:r>
      <w:proofErr w:type="spellEnd"/>
      <w:r>
        <w:rPr>
          <w:rFonts w:cstheme="minorHAnsi"/>
          <w:lang w:eastAsia="ru-RU"/>
        </w:rPr>
        <w:t>.</w:t>
      </w:r>
    </w:p>
    <w:p w:rsidR="00C81778" w:rsidRDefault="00C81778">
      <w:pPr>
        <w:keepNext/>
        <w:spacing w:before="120" w:after="0" w:line="240" w:lineRule="auto"/>
        <w:jc w:val="both"/>
        <w:rPr>
          <w:rFonts w:cstheme="minorHAnsi"/>
          <w:lang w:eastAsia="ru-RU"/>
        </w:rPr>
      </w:pPr>
    </w:p>
    <w:tbl>
      <w:tblPr>
        <w:tblW w:w="9345" w:type="dxa"/>
        <w:tblLayout w:type="fixed"/>
        <w:tblLook w:val="04A0" w:firstRow="1" w:lastRow="0" w:firstColumn="1" w:lastColumn="0" w:noHBand="0" w:noVBand="1"/>
      </w:tblPr>
      <w:tblGrid>
        <w:gridCol w:w="3115"/>
        <w:gridCol w:w="3115"/>
        <w:gridCol w:w="3115"/>
      </w:tblGrid>
      <w:tr w:rsidR="00C81778">
        <w:trPr>
          <w:trHeight w:val="556"/>
        </w:trPr>
        <w:tc>
          <w:tcPr>
            <w:tcW w:w="3115" w:type="dxa"/>
          </w:tcPr>
          <w:p w:rsidR="00C81778" w:rsidRDefault="00AB0D4E">
            <w:pPr>
              <w:spacing w:after="0" w:line="240" w:lineRule="auto"/>
              <w:jc w:val="center"/>
              <w:rPr>
                <w:rFonts w:cstheme="minorHAnsi"/>
              </w:rPr>
            </w:pPr>
            <w:r>
              <w:rPr>
                <w:rFonts w:eastAsia="Calibri" w:cstheme="minorHAnsi"/>
              </w:rPr>
              <w:t>Регистрационный номер выпуска</w:t>
            </w:r>
          </w:p>
        </w:tc>
        <w:tc>
          <w:tcPr>
            <w:tcW w:w="3115" w:type="dxa"/>
          </w:tcPr>
          <w:p w:rsidR="00C81778" w:rsidRDefault="00AB0D4E">
            <w:pPr>
              <w:spacing w:after="0" w:line="240" w:lineRule="auto"/>
              <w:jc w:val="center"/>
              <w:rPr>
                <w:rFonts w:cstheme="minorHAnsi"/>
              </w:rPr>
            </w:pPr>
            <w:r>
              <w:rPr>
                <w:rFonts w:eastAsia="Calibri" w:cstheme="minorHAnsi"/>
              </w:rPr>
              <w:t>Дата размещения</w:t>
            </w:r>
          </w:p>
        </w:tc>
        <w:tc>
          <w:tcPr>
            <w:tcW w:w="3115" w:type="dxa"/>
          </w:tcPr>
          <w:p w:rsidR="00C81778" w:rsidRDefault="00AB0D4E">
            <w:pPr>
              <w:spacing w:after="0" w:line="240" w:lineRule="auto"/>
              <w:jc w:val="center"/>
              <w:rPr>
                <w:rFonts w:cstheme="minorHAnsi"/>
              </w:rPr>
            </w:pPr>
            <w:r>
              <w:rPr>
                <w:rFonts w:eastAsia="Calibri" w:cstheme="minorHAnsi"/>
              </w:rPr>
              <w:t>Дата погашения</w:t>
            </w:r>
          </w:p>
        </w:tc>
      </w:tr>
      <w:tr w:rsidR="00C81778">
        <w:tc>
          <w:tcPr>
            <w:tcW w:w="3115" w:type="dxa"/>
          </w:tcPr>
          <w:p w:rsidR="00C81778" w:rsidRDefault="00AB0D4E">
            <w:pPr>
              <w:spacing w:after="0" w:line="240" w:lineRule="auto"/>
              <w:jc w:val="center"/>
              <w:rPr>
                <w:rFonts w:cstheme="minorHAnsi"/>
              </w:rPr>
            </w:pPr>
            <w:r>
              <w:rPr>
                <w:rFonts w:eastAsia="Calibri" w:cstheme="minorHAnsi"/>
                <w:b/>
                <w:bCs/>
                <w:color w:val="333333"/>
                <w:spacing w:val="2"/>
                <w:shd w:val="clear" w:color="auto" w:fill="FFFFFF"/>
              </w:rPr>
              <w:t>4B02-01-65105-D-002P</w:t>
            </w:r>
          </w:p>
        </w:tc>
        <w:tc>
          <w:tcPr>
            <w:tcW w:w="3115" w:type="dxa"/>
          </w:tcPr>
          <w:p w:rsidR="00C81778" w:rsidRDefault="00AB0D4E">
            <w:pPr>
              <w:spacing w:after="0" w:line="240" w:lineRule="auto"/>
              <w:jc w:val="center"/>
              <w:rPr>
                <w:rFonts w:cstheme="minorHAnsi"/>
              </w:rPr>
            </w:pPr>
            <w:r>
              <w:rPr>
                <w:rFonts w:eastAsia="Calibri" w:cstheme="minorHAnsi"/>
                <w:b/>
                <w:bCs/>
                <w:color w:val="333333"/>
                <w:spacing w:val="2"/>
                <w:shd w:val="clear" w:color="auto" w:fill="FFFFFF"/>
              </w:rPr>
              <w:t>15.07.2020</w:t>
            </w:r>
          </w:p>
        </w:tc>
        <w:tc>
          <w:tcPr>
            <w:tcW w:w="3115" w:type="dxa"/>
          </w:tcPr>
          <w:p w:rsidR="00C81778" w:rsidRDefault="00AB0D4E">
            <w:pPr>
              <w:spacing w:after="0" w:line="240" w:lineRule="auto"/>
              <w:jc w:val="center"/>
              <w:rPr>
                <w:rFonts w:cstheme="minorHAnsi"/>
              </w:rPr>
            </w:pPr>
            <w:r>
              <w:rPr>
                <w:rFonts w:eastAsia="Calibri" w:cstheme="minorHAnsi"/>
                <w:b/>
                <w:bCs/>
                <w:color w:val="333333"/>
                <w:spacing w:val="2"/>
                <w:shd w:val="clear" w:color="auto" w:fill="FFFFFF"/>
              </w:rPr>
              <w:t>08.07.2026</w:t>
            </w:r>
          </w:p>
        </w:tc>
      </w:tr>
    </w:tbl>
    <w:p w:rsidR="00C81778" w:rsidRDefault="00C81778">
      <w:pPr>
        <w:rPr>
          <w:rFonts w:cstheme="minorHAnsi"/>
          <w:lang w:eastAsia="ru-RU"/>
        </w:rPr>
      </w:pPr>
    </w:p>
    <w:p w:rsidR="00C81778" w:rsidRDefault="00AB0D4E">
      <w:pPr>
        <w:spacing w:before="120" w:after="0" w:line="240" w:lineRule="auto"/>
        <w:jc w:val="both"/>
        <w:rPr>
          <w:rFonts w:eastAsiaTheme="majorEastAsia" w:cstheme="minorHAnsi"/>
          <w:color w:val="1F3763" w:themeColor="accent1" w:themeShade="7F"/>
          <w:lang w:eastAsia="ru-RU"/>
        </w:rPr>
      </w:pPr>
      <w:r>
        <w:rPr>
          <w:rFonts w:eastAsiaTheme="majorEastAsia" w:cstheme="minorHAnsi"/>
          <w:color w:val="1F3763" w:themeColor="accent1" w:themeShade="7F"/>
          <w:lang w:eastAsia="ru-RU"/>
        </w:rPr>
        <w:t>Информация об объявленных/начисленных дивидендах по акциям Общества в 2023 году</w:t>
      </w:r>
    </w:p>
    <w:p w:rsidR="00C81778" w:rsidRDefault="00AB0D4E">
      <w:pPr>
        <w:spacing w:before="120" w:after="0" w:line="240" w:lineRule="auto"/>
        <w:jc w:val="both"/>
        <w:rPr>
          <w:rFonts w:eastAsia="Calibri" w:cstheme="minorHAnsi"/>
          <w:b/>
          <w:bCs/>
          <w:lang w:eastAsia="ru-RU"/>
        </w:rPr>
      </w:pPr>
      <w:r>
        <w:rPr>
          <w:rFonts w:eastAsia="Calibri" w:cstheme="minorHAnsi"/>
          <w:b/>
          <w:bCs/>
          <w:lang w:eastAsia="ru-RU"/>
        </w:rPr>
        <w:t>Дивидендная история ПАО «ОГК-2»</w:t>
      </w:r>
    </w:p>
    <w:tbl>
      <w:tblPr>
        <w:tblW w:w="9355" w:type="dxa"/>
        <w:tblLayout w:type="fixed"/>
        <w:tblLook w:val="04A0" w:firstRow="1" w:lastRow="0" w:firstColumn="1" w:lastColumn="0" w:noHBand="0" w:noVBand="1"/>
      </w:tblPr>
      <w:tblGrid>
        <w:gridCol w:w="1364"/>
        <w:gridCol w:w="1429"/>
        <w:gridCol w:w="1835"/>
        <w:gridCol w:w="1512"/>
        <w:gridCol w:w="1490"/>
        <w:gridCol w:w="1725"/>
      </w:tblGrid>
      <w:tr w:rsidR="00C81778">
        <w:tc>
          <w:tcPr>
            <w:tcW w:w="1363" w:type="dxa"/>
            <w:tcBorders>
              <w:bottom w:val="single" w:sz="4" w:space="0" w:color="000000"/>
            </w:tcBorders>
            <w:shd w:val="clear" w:color="auto" w:fill="D0CECE" w:themeFill="background2" w:themeFillShade="E6"/>
          </w:tcPr>
          <w:p w:rsidR="00C81778" w:rsidRDefault="00AB0D4E">
            <w:pPr>
              <w:spacing w:after="0" w:line="240" w:lineRule="auto"/>
              <w:jc w:val="center"/>
              <w:rPr>
                <w:rFonts w:eastAsia="Calibri" w:cstheme="minorHAnsi"/>
                <w:b/>
                <w:bCs/>
                <w:lang w:eastAsia="ru-RU"/>
              </w:rPr>
            </w:pPr>
            <w:r>
              <w:rPr>
                <w:rFonts w:eastAsia="Calibri" w:cstheme="minorHAnsi"/>
                <w:b/>
                <w:bCs/>
                <w:i/>
                <w:iCs/>
                <w:lang w:eastAsia="ru-RU"/>
              </w:rPr>
              <w:t>Период выплаты дивидендов</w:t>
            </w:r>
          </w:p>
        </w:tc>
        <w:tc>
          <w:tcPr>
            <w:tcW w:w="1429" w:type="dxa"/>
            <w:tcBorders>
              <w:bottom w:val="single" w:sz="4" w:space="0" w:color="000000"/>
            </w:tcBorders>
            <w:shd w:val="clear" w:color="auto" w:fill="D0CECE" w:themeFill="background2" w:themeFillShade="E6"/>
          </w:tcPr>
          <w:p w:rsidR="00C81778" w:rsidRDefault="00AB0D4E">
            <w:pPr>
              <w:spacing w:after="0" w:line="240" w:lineRule="auto"/>
              <w:jc w:val="center"/>
              <w:rPr>
                <w:rFonts w:eastAsia="Calibri" w:cstheme="minorHAnsi"/>
                <w:b/>
                <w:bCs/>
                <w:lang w:eastAsia="ru-RU"/>
              </w:rPr>
            </w:pPr>
            <w:r>
              <w:rPr>
                <w:rFonts w:eastAsia="Calibri" w:cstheme="minorHAnsi"/>
                <w:b/>
                <w:bCs/>
                <w:i/>
                <w:iCs/>
                <w:lang w:eastAsia="ru-RU"/>
              </w:rPr>
              <w:t>Дата проведения собрания акционеров, принявшего решение о выплате дивидендов:</w:t>
            </w:r>
          </w:p>
        </w:tc>
        <w:tc>
          <w:tcPr>
            <w:tcW w:w="1835" w:type="dxa"/>
            <w:tcBorders>
              <w:bottom w:val="single" w:sz="4" w:space="0" w:color="000000"/>
            </w:tcBorders>
            <w:shd w:val="clear" w:color="auto" w:fill="D0CECE" w:themeFill="background2" w:themeFillShade="E6"/>
          </w:tcPr>
          <w:p w:rsidR="00C81778" w:rsidRDefault="00AB0D4E">
            <w:pPr>
              <w:spacing w:after="0" w:line="240" w:lineRule="auto"/>
              <w:jc w:val="center"/>
              <w:rPr>
                <w:rFonts w:eastAsia="Calibri" w:cstheme="minorHAnsi"/>
                <w:b/>
                <w:bCs/>
                <w:lang w:eastAsia="ru-RU"/>
              </w:rPr>
            </w:pPr>
            <w:r>
              <w:rPr>
                <w:rFonts w:eastAsia="Calibri" w:cstheme="minorHAnsi"/>
                <w:b/>
                <w:bCs/>
                <w:i/>
                <w:iCs/>
                <w:lang w:eastAsia="ru-RU"/>
              </w:rPr>
              <w:t>Размер объявленных дивидендов на одну обыкновенную акцию</w:t>
            </w:r>
          </w:p>
        </w:tc>
        <w:tc>
          <w:tcPr>
            <w:tcW w:w="1512" w:type="dxa"/>
            <w:tcBorders>
              <w:bottom w:val="single" w:sz="4" w:space="0" w:color="000000"/>
            </w:tcBorders>
            <w:shd w:val="clear" w:color="auto" w:fill="D0CECE" w:themeFill="background2" w:themeFillShade="E6"/>
          </w:tcPr>
          <w:p w:rsidR="00C81778" w:rsidRDefault="00AB0D4E">
            <w:pPr>
              <w:spacing w:after="0" w:line="240" w:lineRule="auto"/>
              <w:jc w:val="center"/>
              <w:rPr>
                <w:rFonts w:eastAsia="Calibri" w:cstheme="minorHAnsi"/>
                <w:b/>
                <w:bCs/>
                <w:lang w:eastAsia="ru-RU"/>
              </w:rPr>
            </w:pPr>
            <w:r>
              <w:rPr>
                <w:rFonts w:eastAsia="Calibri" w:cstheme="minorHAnsi"/>
                <w:b/>
                <w:bCs/>
                <w:i/>
                <w:iCs/>
                <w:lang w:eastAsia="ru-RU"/>
              </w:rPr>
              <w:t>Общий размер объявленных дивидендов</w:t>
            </w:r>
          </w:p>
        </w:tc>
        <w:tc>
          <w:tcPr>
            <w:tcW w:w="1490" w:type="dxa"/>
            <w:tcBorders>
              <w:bottom w:val="single" w:sz="4" w:space="0" w:color="000000"/>
            </w:tcBorders>
            <w:shd w:val="clear" w:color="auto" w:fill="D0CECE" w:themeFill="background2" w:themeFillShade="E6"/>
          </w:tcPr>
          <w:p w:rsidR="00C81778" w:rsidRDefault="00AB0D4E">
            <w:pPr>
              <w:spacing w:after="0" w:line="240" w:lineRule="auto"/>
              <w:jc w:val="center"/>
              <w:rPr>
                <w:rFonts w:eastAsia="Calibri" w:cstheme="minorHAnsi"/>
                <w:b/>
                <w:bCs/>
                <w:lang w:eastAsia="ru-RU"/>
              </w:rPr>
            </w:pPr>
            <w:r>
              <w:rPr>
                <w:rFonts w:eastAsia="Calibri" w:cstheme="minorHAnsi"/>
                <w:b/>
                <w:bCs/>
                <w:i/>
                <w:iCs/>
                <w:lang w:eastAsia="ru-RU"/>
              </w:rPr>
              <w:t>Общий размер начисленных дивидендов</w:t>
            </w:r>
          </w:p>
        </w:tc>
        <w:tc>
          <w:tcPr>
            <w:tcW w:w="1725" w:type="dxa"/>
            <w:tcBorders>
              <w:bottom w:val="single" w:sz="4" w:space="0" w:color="000000"/>
            </w:tcBorders>
            <w:shd w:val="clear" w:color="auto" w:fill="D0CECE" w:themeFill="background2" w:themeFillShade="E6"/>
          </w:tcPr>
          <w:p w:rsidR="00C81778" w:rsidRDefault="00AB0D4E">
            <w:pPr>
              <w:spacing w:after="0" w:line="240" w:lineRule="auto"/>
              <w:jc w:val="center"/>
              <w:rPr>
                <w:rFonts w:eastAsia="Calibri" w:cstheme="minorHAnsi"/>
                <w:b/>
                <w:bCs/>
                <w:lang w:eastAsia="ru-RU"/>
              </w:rPr>
            </w:pPr>
            <w:proofErr w:type="gramStart"/>
            <w:r>
              <w:rPr>
                <w:rFonts w:eastAsia="Calibri" w:cstheme="minorHAnsi"/>
                <w:b/>
                <w:bCs/>
                <w:i/>
                <w:iCs/>
                <w:lang w:eastAsia="ru-RU"/>
              </w:rPr>
              <w:t>Дата</w:t>
            </w:r>
            <w:proofErr w:type="gramEnd"/>
            <w:r>
              <w:rPr>
                <w:rFonts w:eastAsia="Calibri" w:cstheme="minorHAnsi"/>
                <w:b/>
                <w:bCs/>
                <w:i/>
                <w:iCs/>
                <w:lang w:eastAsia="ru-RU"/>
              </w:rPr>
              <w:t xml:space="preserve"> на которую в соответствии с решением о выплате (объявлении) дивидендов определяются лица, имеющие право на их получение*</w:t>
            </w:r>
          </w:p>
        </w:tc>
      </w:tr>
      <w:tr w:rsidR="00C81778">
        <w:tc>
          <w:tcPr>
            <w:tcW w:w="1363" w:type="dxa"/>
            <w:tcBorders>
              <w:top w:val="single" w:sz="4" w:space="0" w:color="000000"/>
            </w:tcBorders>
            <w:shd w:val="clear" w:color="auto" w:fill="F2F2F2" w:themeFill="background1" w:themeFillShade="F2"/>
          </w:tcPr>
          <w:p w:rsidR="00C81778" w:rsidRDefault="00AB0D4E">
            <w:pPr>
              <w:spacing w:after="0" w:line="240" w:lineRule="auto"/>
              <w:jc w:val="center"/>
              <w:rPr>
                <w:rFonts w:eastAsia="Calibri" w:cstheme="minorHAnsi"/>
                <w:lang w:eastAsia="ru-RU"/>
              </w:rPr>
            </w:pPr>
            <w:r>
              <w:rPr>
                <w:rFonts w:eastAsia="Calibri" w:cstheme="minorHAnsi"/>
                <w:i/>
                <w:iCs/>
                <w:lang w:eastAsia="ru-RU"/>
              </w:rPr>
              <w:t>2022</w:t>
            </w:r>
          </w:p>
        </w:tc>
        <w:tc>
          <w:tcPr>
            <w:tcW w:w="1429" w:type="dxa"/>
            <w:tcBorders>
              <w:top w:val="single" w:sz="4" w:space="0" w:color="000000"/>
            </w:tcBorders>
            <w:shd w:val="clear" w:color="auto" w:fill="F2F2F2" w:themeFill="background1" w:themeFillShade="F2"/>
          </w:tcPr>
          <w:p w:rsidR="00C81778" w:rsidRDefault="00AB0D4E">
            <w:pPr>
              <w:spacing w:after="0" w:line="240" w:lineRule="auto"/>
              <w:jc w:val="center"/>
              <w:rPr>
                <w:rFonts w:eastAsia="Calibri" w:cstheme="minorHAnsi"/>
                <w:lang w:eastAsia="ru-RU"/>
              </w:rPr>
            </w:pPr>
            <w:r>
              <w:rPr>
                <w:rFonts w:eastAsia="Calibri" w:cstheme="minorHAnsi"/>
                <w:lang w:eastAsia="ru-RU"/>
              </w:rPr>
              <w:t>27.06.2023</w:t>
            </w:r>
          </w:p>
        </w:tc>
        <w:tc>
          <w:tcPr>
            <w:tcW w:w="1835" w:type="dxa"/>
            <w:tcBorders>
              <w:top w:val="single" w:sz="4" w:space="0" w:color="000000"/>
            </w:tcBorders>
            <w:shd w:val="clear" w:color="auto" w:fill="F2F2F2" w:themeFill="background1" w:themeFillShade="F2"/>
          </w:tcPr>
          <w:p w:rsidR="00C81778" w:rsidRDefault="00AB0D4E">
            <w:pPr>
              <w:spacing w:after="0" w:line="240" w:lineRule="auto"/>
              <w:jc w:val="center"/>
              <w:rPr>
                <w:rFonts w:eastAsia="Calibri" w:cstheme="minorHAnsi"/>
                <w:lang w:eastAsia="ru-RU"/>
              </w:rPr>
            </w:pPr>
            <w:r>
              <w:rPr>
                <w:rFonts w:eastAsia="Calibri" w:cstheme="minorHAnsi"/>
                <w:lang w:eastAsia="ru-RU"/>
              </w:rPr>
              <w:t>0,0580758473514 руб.</w:t>
            </w:r>
          </w:p>
        </w:tc>
        <w:tc>
          <w:tcPr>
            <w:tcW w:w="1512" w:type="dxa"/>
            <w:tcBorders>
              <w:top w:val="single" w:sz="4" w:space="0" w:color="000000"/>
            </w:tcBorders>
            <w:shd w:val="clear" w:color="auto" w:fill="F2F2F2" w:themeFill="background1" w:themeFillShade="F2"/>
          </w:tcPr>
          <w:p w:rsidR="00C81778" w:rsidRDefault="00AB0D4E">
            <w:pPr>
              <w:spacing w:after="0" w:line="240" w:lineRule="auto"/>
              <w:jc w:val="center"/>
              <w:rPr>
                <w:rFonts w:eastAsia="Calibri" w:cstheme="minorHAnsi"/>
                <w:lang w:eastAsia="ru-RU"/>
              </w:rPr>
            </w:pPr>
            <w:r>
              <w:rPr>
                <w:rFonts w:eastAsia="Calibri" w:cstheme="minorHAnsi"/>
                <w:lang w:eastAsia="ru-RU"/>
              </w:rPr>
              <w:t>6 413 964 тыс. руб.</w:t>
            </w:r>
          </w:p>
        </w:tc>
        <w:tc>
          <w:tcPr>
            <w:tcW w:w="1490" w:type="dxa"/>
            <w:tcBorders>
              <w:top w:val="single" w:sz="4" w:space="0" w:color="000000"/>
            </w:tcBorders>
            <w:shd w:val="clear" w:color="auto" w:fill="F2F2F2" w:themeFill="background1" w:themeFillShade="F2"/>
          </w:tcPr>
          <w:p w:rsidR="00C81778" w:rsidRDefault="00AB0D4E">
            <w:pPr>
              <w:spacing w:after="0" w:line="240" w:lineRule="auto"/>
              <w:jc w:val="center"/>
              <w:rPr>
                <w:rFonts w:eastAsia="Calibri" w:cstheme="minorHAnsi"/>
                <w:lang w:eastAsia="ru-RU"/>
              </w:rPr>
            </w:pPr>
            <w:r>
              <w:rPr>
                <w:rFonts w:eastAsia="Calibri" w:cstheme="minorHAnsi"/>
                <w:lang w:eastAsia="ru-RU"/>
              </w:rPr>
              <w:t>6 413 964 тыс. руб.</w:t>
            </w:r>
          </w:p>
        </w:tc>
        <w:tc>
          <w:tcPr>
            <w:tcW w:w="1725" w:type="dxa"/>
            <w:tcBorders>
              <w:top w:val="single" w:sz="4" w:space="0" w:color="000000"/>
            </w:tcBorders>
            <w:shd w:val="clear" w:color="auto" w:fill="F2F2F2" w:themeFill="background1" w:themeFillShade="F2"/>
          </w:tcPr>
          <w:p w:rsidR="00C81778" w:rsidRDefault="00AB0D4E">
            <w:pPr>
              <w:spacing w:after="0" w:line="240" w:lineRule="auto"/>
              <w:jc w:val="center"/>
              <w:rPr>
                <w:rFonts w:eastAsia="Calibri" w:cstheme="minorHAnsi"/>
                <w:lang w:eastAsia="ru-RU"/>
              </w:rPr>
            </w:pPr>
            <w:r>
              <w:rPr>
                <w:rFonts w:eastAsia="Calibri" w:cstheme="minorHAnsi"/>
                <w:lang w:eastAsia="ru-RU"/>
              </w:rPr>
              <w:t>10 июля 2023 года</w:t>
            </w:r>
          </w:p>
        </w:tc>
      </w:tr>
    </w:tbl>
    <w:p w:rsidR="00C81778" w:rsidRDefault="00C81778">
      <w:pPr>
        <w:pStyle w:val="31"/>
        <w:keepLines/>
        <w:spacing w:before="120" w:after="0"/>
        <w:rPr>
          <w:rFonts w:asciiTheme="minorHAnsi" w:eastAsiaTheme="minorHAnsi" w:hAnsiTheme="minorHAnsi" w:cstheme="minorHAnsi"/>
          <w:b w:val="0"/>
          <w:bCs w:val="0"/>
          <w:sz w:val="22"/>
          <w:szCs w:val="22"/>
        </w:rPr>
      </w:pPr>
    </w:p>
    <w:p w:rsidR="00C81778" w:rsidRDefault="00C81778">
      <w:pPr>
        <w:pStyle w:val="31"/>
        <w:keepLines/>
        <w:spacing w:before="120" w:after="0"/>
        <w:rPr>
          <w:rFonts w:asciiTheme="minorHAnsi" w:eastAsiaTheme="minorHAnsi" w:hAnsiTheme="minorHAnsi" w:cstheme="minorBidi"/>
          <w:b w:val="0"/>
          <w:bCs w:val="0"/>
          <w:sz w:val="22"/>
          <w:szCs w:val="22"/>
        </w:rPr>
      </w:pPr>
    </w:p>
    <w:p w:rsidR="00C81778" w:rsidRDefault="00C81778">
      <w:pPr>
        <w:rPr>
          <w:lang w:eastAsia="ru-RU"/>
        </w:rPr>
      </w:pPr>
    </w:p>
    <w:p w:rsidR="00C81778" w:rsidRDefault="00AB0D4E">
      <w:pPr>
        <w:pStyle w:val="31"/>
        <w:keepLines/>
        <w:spacing w:before="120" w:after="0"/>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Внешний аудитор</w:t>
      </w:r>
    </w:p>
    <w:tbl>
      <w:tblPr>
        <w:tblW w:w="9336" w:type="dxa"/>
        <w:tblLayout w:type="fixed"/>
        <w:tblLook w:val="04A0" w:firstRow="1" w:lastRow="0" w:firstColumn="1" w:lastColumn="0" w:noHBand="0" w:noVBand="1"/>
      </w:tblPr>
      <w:tblGrid>
        <w:gridCol w:w="3835"/>
        <w:gridCol w:w="5501"/>
      </w:tblGrid>
      <w:tr w:rsidR="00C81778">
        <w:trPr>
          <w:trHeight w:val="148"/>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Полное фирменное наименование</w:t>
            </w:r>
          </w:p>
        </w:tc>
        <w:tc>
          <w:tcPr>
            <w:tcW w:w="5500" w:type="dxa"/>
            <w:shd w:val="clear" w:color="auto" w:fill="E2EFD9" w:themeFill="accent6" w:themeFillTint="33"/>
          </w:tcPr>
          <w:p w:rsidR="00C81778" w:rsidRDefault="00AB0D4E">
            <w:pPr>
              <w:spacing w:after="0" w:line="240" w:lineRule="auto"/>
              <w:jc w:val="both"/>
              <w:rPr>
                <w:rFonts w:eastAsia="Calibri" w:cstheme="minorHAnsi"/>
              </w:rPr>
            </w:pPr>
            <w:proofErr w:type="spellStart"/>
            <w:r>
              <w:rPr>
                <w:rFonts w:eastAsia="Calibri" w:cstheme="minorHAnsi"/>
                <w:iCs/>
              </w:rPr>
              <w:t>Юникон</w:t>
            </w:r>
            <w:proofErr w:type="spellEnd"/>
            <w:r>
              <w:rPr>
                <w:rFonts w:eastAsia="Calibri" w:cstheme="minorHAnsi"/>
                <w:iCs/>
              </w:rPr>
              <w:t xml:space="preserve"> Акционерное общество</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Сокращенное фирменное наименование</w:t>
            </w:r>
          </w:p>
        </w:tc>
        <w:tc>
          <w:tcPr>
            <w:tcW w:w="5500" w:type="dxa"/>
            <w:shd w:val="clear" w:color="auto" w:fill="E2EFD9" w:themeFill="accent6" w:themeFillTint="33"/>
          </w:tcPr>
          <w:p w:rsidR="00C81778" w:rsidRDefault="00AB0D4E">
            <w:pPr>
              <w:spacing w:after="0" w:line="240" w:lineRule="auto"/>
              <w:jc w:val="both"/>
              <w:rPr>
                <w:rFonts w:eastAsia="Calibri" w:cstheme="minorHAnsi"/>
              </w:rPr>
            </w:pPr>
            <w:proofErr w:type="spellStart"/>
            <w:r>
              <w:rPr>
                <w:rFonts w:eastAsia="Calibri" w:cstheme="minorHAnsi"/>
                <w:iCs/>
              </w:rPr>
              <w:t>Юникон</w:t>
            </w:r>
            <w:proofErr w:type="spellEnd"/>
            <w:r>
              <w:rPr>
                <w:rFonts w:eastAsia="Calibri" w:cstheme="minorHAnsi"/>
                <w:iCs/>
              </w:rPr>
              <w:t xml:space="preserve"> АО</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Место нахождения</w:t>
            </w:r>
          </w:p>
        </w:tc>
        <w:tc>
          <w:tcPr>
            <w:tcW w:w="5500" w:type="dxa"/>
            <w:shd w:val="clear" w:color="auto" w:fill="E2EFD9" w:themeFill="accent6" w:themeFillTint="33"/>
          </w:tcPr>
          <w:p w:rsidR="00C81778" w:rsidRDefault="00AB0D4E">
            <w:pPr>
              <w:spacing w:after="0" w:line="240" w:lineRule="auto"/>
              <w:jc w:val="both"/>
              <w:rPr>
                <w:rFonts w:eastAsia="Calibri" w:cstheme="minorHAnsi"/>
                <w:bCs/>
                <w:iCs/>
              </w:rPr>
            </w:pPr>
            <w:r>
              <w:rPr>
                <w:rFonts w:eastAsia="Calibri" w:cstheme="minorHAnsi"/>
                <w:bCs/>
                <w:iCs/>
              </w:rPr>
              <w:t>город Москва</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ИНН</w:t>
            </w:r>
          </w:p>
        </w:tc>
        <w:tc>
          <w:tcPr>
            <w:tcW w:w="5500" w:type="dxa"/>
            <w:shd w:val="clear" w:color="auto" w:fill="E2EFD9" w:themeFill="accent6" w:themeFillTint="33"/>
          </w:tcPr>
          <w:p w:rsidR="00C81778" w:rsidRDefault="00AB0D4E">
            <w:pPr>
              <w:spacing w:after="0" w:line="240" w:lineRule="auto"/>
              <w:jc w:val="both"/>
              <w:rPr>
                <w:rFonts w:eastAsia="Calibri" w:cstheme="minorHAnsi"/>
              </w:rPr>
            </w:pPr>
            <w:r>
              <w:rPr>
                <w:rFonts w:eastAsia="Calibri" w:cstheme="minorHAnsi"/>
                <w:iCs/>
              </w:rPr>
              <w:t>7716021332</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ОГРН</w:t>
            </w:r>
          </w:p>
        </w:tc>
        <w:tc>
          <w:tcPr>
            <w:tcW w:w="5500" w:type="dxa"/>
            <w:shd w:val="clear" w:color="auto" w:fill="E2EFD9" w:themeFill="accent6" w:themeFillTint="33"/>
          </w:tcPr>
          <w:p w:rsidR="00C81778" w:rsidRDefault="00AB0D4E">
            <w:pPr>
              <w:spacing w:after="0" w:line="240" w:lineRule="auto"/>
              <w:jc w:val="both"/>
              <w:rPr>
                <w:rFonts w:eastAsia="Calibri" w:cstheme="minorHAnsi"/>
              </w:rPr>
            </w:pPr>
            <w:r>
              <w:rPr>
                <w:rFonts w:eastAsia="Calibri" w:cstheme="minorHAnsi"/>
                <w:iCs/>
              </w:rPr>
              <w:t>1037739271701</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Тел.</w:t>
            </w:r>
          </w:p>
        </w:tc>
        <w:tc>
          <w:tcPr>
            <w:tcW w:w="5500" w:type="dxa"/>
            <w:shd w:val="clear" w:color="auto" w:fill="E2EFD9" w:themeFill="accent6" w:themeFillTint="33"/>
          </w:tcPr>
          <w:p w:rsidR="00C81778" w:rsidRDefault="00AB0D4E">
            <w:pPr>
              <w:spacing w:after="0" w:line="240" w:lineRule="auto"/>
              <w:jc w:val="both"/>
              <w:rPr>
                <w:rFonts w:eastAsia="Calibri" w:cstheme="minorHAnsi"/>
              </w:rPr>
            </w:pPr>
            <w:r>
              <w:rPr>
                <w:rFonts w:eastAsia="Calibri" w:cstheme="minorHAnsi"/>
                <w:iCs/>
              </w:rPr>
              <w:t>(495) 797-5665</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Факс</w:t>
            </w:r>
          </w:p>
        </w:tc>
        <w:tc>
          <w:tcPr>
            <w:tcW w:w="5500" w:type="dxa"/>
            <w:shd w:val="clear" w:color="auto" w:fill="E2EFD9" w:themeFill="accent6" w:themeFillTint="33"/>
          </w:tcPr>
          <w:p w:rsidR="00C81778" w:rsidRDefault="00AB0D4E">
            <w:pPr>
              <w:spacing w:after="0" w:line="240" w:lineRule="auto"/>
              <w:jc w:val="both"/>
              <w:rPr>
                <w:rFonts w:eastAsia="Calibri" w:cstheme="minorHAnsi"/>
              </w:rPr>
            </w:pPr>
            <w:r>
              <w:rPr>
                <w:rFonts w:eastAsia="Calibri" w:cstheme="minorHAnsi"/>
                <w:iCs/>
              </w:rPr>
              <w:t>(495) 797-5660</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Адрес электронной почты</w:t>
            </w:r>
          </w:p>
        </w:tc>
        <w:tc>
          <w:tcPr>
            <w:tcW w:w="5500" w:type="dxa"/>
            <w:shd w:val="clear" w:color="auto" w:fill="E2EFD9" w:themeFill="accent6" w:themeFillTint="33"/>
          </w:tcPr>
          <w:p w:rsidR="00C81778" w:rsidRDefault="000F711E">
            <w:pPr>
              <w:spacing w:after="0" w:line="240" w:lineRule="auto"/>
              <w:rPr>
                <w:rFonts w:eastAsia="Calibri" w:cstheme="minorHAnsi"/>
                <w:u w:val="single"/>
              </w:rPr>
            </w:pPr>
            <w:hyperlink r:id="rId15" w:tooltip="mailto:reception@unicon.ru" w:history="1">
              <w:r w:rsidR="00AB0D4E">
                <w:rPr>
                  <w:rStyle w:val="af8"/>
                  <w:rFonts w:eastAsia="Calibri" w:cstheme="minorHAnsi"/>
                  <w:color w:val="auto"/>
                </w:rPr>
                <w:t>reception@unicon.ru</w:t>
              </w:r>
            </w:hyperlink>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t>Веб-сайт</w:t>
            </w:r>
          </w:p>
        </w:tc>
        <w:tc>
          <w:tcPr>
            <w:tcW w:w="5500" w:type="dxa"/>
            <w:shd w:val="clear" w:color="auto" w:fill="E2EFD9" w:themeFill="accent6" w:themeFillTint="33"/>
          </w:tcPr>
          <w:p w:rsidR="00C81778" w:rsidRDefault="00AB0D4E">
            <w:pPr>
              <w:spacing w:after="0" w:line="240" w:lineRule="auto"/>
              <w:rPr>
                <w:rFonts w:eastAsia="Calibri" w:cstheme="minorHAnsi"/>
                <w:u w:val="single"/>
              </w:rPr>
            </w:pPr>
            <w:r>
              <w:rPr>
                <w:rFonts w:eastAsia="Calibri" w:cstheme="minorHAnsi"/>
                <w:u w:val="single"/>
              </w:rPr>
              <w:t>https://www.unicon.ru/</w:t>
            </w:r>
          </w:p>
        </w:tc>
      </w:tr>
      <w:tr w:rsidR="00C81778">
        <w:trPr>
          <w:trHeight w:val="247"/>
        </w:trPr>
        <w:tc>
          <w:tcPr>
            <w:tcW w:w="3835" w:type="dxa"/>
            <w:shd w:val="clear" w:color="auto" w:fill="D5DCE4" w:themeFill="text2" w:themeFillTint="33"/>
          </w:tcPr>
          <w:p w:rsidR="00C81778" w:rsidRDefault="00AB0D4E">
            <w:pPr>
              <w:spacing w:after="0" w:line="240" w:lineRule="auto"/>
              <w:jc w:val="both"/>
              <w:rPr>
                <w:rFonts w:eastAsia="Calibri" w:cstheme="minorHAnsi"/>
                <w:b/>
                <w:bCs/>
              </w:rPr>
            </w:pPr>
            <w:r>
              <w:rPr>
                <w:rFonts w:eastAsia="Calibri" w:cstheme="minorHAnsi"/>
                <w:b/>
                <w:bCs/>
              </w:rPr>
              <w:lastRenderedPageBreak/>
              <w:t>Данные о членстве аудитора в саморегулируемых организациях аудиторов</w:t>
            </w:r>
          </w:p>
        </w:tc>
        <w:tc>
          <w:tcPr>
            <w:tcW w:w="5500" w:type="dxa"/>
            <w:shd w:val="clear" w:color="auto" w:fill="E2EFD9" w:themeFill="accent6" w:themeFillTint="33"/>
          </w:tcPr>
          <w:p w:rsidR="00C81778" w:rsidRDefault="00AB0D4E">
            <w:pPr>
              <w:spacing w:after="0" w:line="240" w:lineRule="auto"/>
              <w:jc w:val="both"/>
              <w:rPr>
                <w:rFonts w:eastAsia="Calibri" w:cstheme="minorHAnsi"/>
                <w:bCs/>
                <w:iCs/>
              </w:rPr>
            </w:pPr>
            <w:r>
              <w:rPr>
                <w:rFonts w:eastAsia="Calibri" w:cstheme="minorHAnsi"/>
                <w:bCs/>
                <w:iCs/>
              </w:rPr>
              <w:t>Саморегулируемая организация аудиторов Ассоциация «Содружество» (СРО ААС), ОРНЗ 12006020340</w:t>
            </w:r>
          </w:p>
        </w:tc>
      </w:tr>
    </w:tbl>
    <w:p w:rsidR="00C81778" w:rsidRDefault="00C81778">
      <w:pPr>
        <w:jc w:val="both"/>
        <w:rPr>
          <w:rFonts w:eastAsiaTheme="minorEastAsia" w:cstheme="minorHAnsi"/>
          <w:lang w:eastAsia="ru-RU"/>
        </w:rPr>
      </w:pPr>
    </w:p>
    <w:p w:rsidR="00C81778" w:rsidRDefault="00AB0D4E">
      <w:pPr>
        <w:pStyle w:val="31"/>
        <w:keepLines/>
        <w:spacing w:before="120" w:after="0"/>
        <w:jc w:val="both"/>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Регистратор Общества</w:t>
      </w:r>
    </w:p>
    <w:tbl>
      <w:tblPr>
        <w:tblW w:w="9335" w:type="dxa"/>
        <w:tblLayout w:type="fixed"/>
        <w:tblLook w:val="04A0" w:firstRow="1" w:lastRow="0" w:firstColumn="1" w:lastColumn="0" w:noHBand="0" w:noVBand="1"/>
      </w:tblPr>
      <w:tblGrid>
        <w:gridCol w:w="3822"/>
        <w:gridCol w:w="5513"/>
      </w:tblGrid>
      <w:tr w:rsidR="00C81778">
        <w:trPr>
          <w:trHeight w:val="144"/>
        </w:trPr>
        <w:tc>
          <w:tcPr>
            <w:tcW w:w="3822" w:type="dxa"/>
            <w:shd w:val="clear" w:color="auto" w:fill="D0CECE" w:themeFill="background2" w:themeFillShade="E6"/>
          </w:tcPr>
          <w:p w:rsidR="00C81778" w:rsidRDefault="00AB0D4E">
            <w:pPr>
              <w:spacing w:after="0" w:line="240" w:lineRule="auto"/>
              <w:rPr>
                <w:rFonts w:eastAsia="Calibri" w:cstheme="minorHAnsi"/>
              </w:rPr>
            </w:pPr>
            <w:r>
              <w:rPr>
                <w:rFonts w:eastAsia="Calibri" w:cstheme="minorHAnsi"/>
              </w:rPr>
              <w:t>Полное фирменное наименование</w:t>
            </w:r>
          </w:p>
        </w:tc>
        <w:tc>
          <w:tcPr>
            <w:tcW w:w="5512" w:type="dxa"/>
            <w:shd w:val="clear" w:color="auto" w:fill="F2F2F2" w:themeFill="background1" w:themeFillShade="F2"/>
          </w:tcPr>
          <w:p w:rsidR="00C81778" w:rsidRDefault="00AB0D4E">
            <w:pPr>
              <w:spacing w:after="0" w:line="240" w:lineRule="auto"/>
              <w:rPr>
                <w:rFonts w:eastAsia="Calibri" w:cstheme="minorHAnsi"/>
              </w:rPr>
            </w:pPr>
            <w:r>
              <w:rPr>
                <w:rFonts w:eastAsia="Calibri" w:cstheme="minorHAnsi"/>
              </w:rPr>
              <w:t>Акционерное общество «Специализированный регистратор - Держатель реестров акционеров газовой промышленности»</w:t>
            </w:r>
          </w:p>
        </w:tc>
      </w:tr>
      <w:tr w:rsidR="00C81778">
        <w:trPr>
          <w:trHeight w:val="241"/>
        </w:trPr>
        <w:tc>
          <w:tcPr>
            <w:tcW w:w="3822" w:type="dxa"/>
            <w:shd w:val="clear" w:color="auto" w:fill="D0CECE" w:themeFill="background2" w:themeFillShade="E6"/>
          </w:tcPr>
          <w:p w:rsidR="00C81778" w:rsidRDefault="00AB0D4E">
            <w:pPr>
              <w:spacing w:after="0" w:line="240" w:lineRule="auto"/>
              <w:rPr>
                <w:rFonts w:eastAsia="Calibri" w:cstheme="minorHAnsi"/>
              </w:rPr>
            </w:pPr>
            <w:r>
              <w:rPr>
                <w:rFonts w:eastAsia="Calibri" w:cstheme="minorHAnsi"/>
              </w:rPr>
              <w:t>Сокращенное фирменное наименование</w:t>
            </w:r>
          </w:p>
        </w:tc>
        <w:tc>
          <w:tcPr>
            <w:tcW w:w="5512" w:type="dxa"/>
            <w:shd w:val="clear" w:color="auto" w:fill="F2F2F2" w:themeFill="background1" w:themeFillShade="F2"/>
          </w:tcPr>
          <w:p w:rsidR="00C81778" w:rsidRDefault="00AB0D4E">
            <w:pPr>
              <w:spacing w:after="0" w:line="240" w:lineRule="auto"/>
              <w:rPr>
                <w:rFonts w:eastAsia="Calibri" w:cstheme="minorHAnsi"/>
              </w:rPr>
            </w:pPr>
            <w:r>
              <w:rPr>
                <w:rFonts w:eastAsia="Calibri" w:cstheme="minorHAnsi"/>
              </w:rPr>
              <w:t>АО «ДРАГА»</w:t>
            </w:r>
          </w:p>
        </w:tc>
      </w:tr>
      <w:tr w:rsidR="00C81778">
        <w:trPr>
          <w:trHeight w:val="241"/>
        </w:trPr>
        <w:tc>
          <w:tcPr>
            <w:tcW w:w="3822" w:type="dxa"/>
            <w:shd w:val="clear" w:color="auto" w:fill="D0CECE" w:themeFill="background2" w:themeFillShade="E6"/>
          </w:tcPr>
          <w:p w:rsidR="00C81778" w:rsidRDefault="00AB0D4E">
            <w:pPr>
              <w:spacing w:after="0" w:line="240" w:lineRule="auto"/>
              <w:rPr>
                <w:rFonts w:eastAsia="Calibri" w:cstheme="minorHAnsi"/>
              </w:rPr>
            </w:pPr>
            <w:r>
              <w:rPr>
                <w:rFonts w:eastAsia="Calibri" w:cstheme="minorHAnsi"/>
              </w:rPr>
              <w:t>Место нахождения</w:t>
            </w:r>
          </w:p>
        </w:tc>
        <w:tc>
          <w:tcPr>
            <w:tcW w:w="5512" w:type="dxa"/>
            <w:shd w:val="clear" w:color="auto" w:fill="F2F2F2" w:themeFill="background1" w:themeFillShade="F2"/>
          </w:tcPr>
          <w:p w:rsidR="00C81778" w:rsidRDefault="00AB0D4E">
            <w:pPr>
              <w:spacing w:after="0" w:line="240" w:lineRule="auto"/>
              <w:rPr>
                <w:rFonts w:eastAsia="Calibri" w:cstheme="minorHAnsi"/>
              </w:rPr>
            </w:pPr>
            <w:r>
              <w:rPr>
                <w:rFonts w:eastAsia="Calibri" w:cstheme="minorHAnsi"/>
              </w:rPr>
              <w:t>г. Санкт-Петербург</w:t>
            </w:r>
          </w:p>
        </w:tc>
      </w:tr>
      <w:tr w:rsidR="00C81778">
        <w:trPr>
          <w:trHeight w:val="241"/>
        </w:trPr>
        <w:tc>
          <w:tcPr>
            <w:tcW w:w="3822" w:type="dxa"/>
            <w:shd w:val="clear" w:color="auto" w:fill="D0CECE" w:themeFill="background2" w:themeFillShade="E6"/>
          </w:tcPr>
          <w:p w:rsidR="00C81778" w:rsidRDefault="00AB0D4E">
            <w:pPr>
              <w:spacing w:after="0" w:line="240" w:lineRule="auto"/>
              <w:rPr>
                <w:rFonts w:eastAsia="Calibri" w:cstheme="minorHAnsi"/>
              </w:rPr>
            </w:pPr>
            <w:r>
              <w:rPr>
                <w:rFonts w:eastAsia="Calibri" w:cstheme="minorHAnsi"/>
              </w:rPr>
              <w:t>Почтовый адрес</w:t>
            </w:r>
          </w:p>
        </w:tc>
        <w:tc>
          <w:tcPr>
            <w:tcW w:w="5512" w:type="dxa"/>
            <w:shd w:val="clear" w:color="auto" w:fill="F2F2F2" w:themeFill="background1" w:themeFillShade="F2"/>
          </w:tcPr>
          <w:p w:rsidR="00C81778" w:rsidRDefault="00AB0D4E">
            <w:pPr>
              <w:spacing w:after="0" w:line="240" w:lineRule="auto"/>
              <w:rPr>
                <w:rFonts w:eastAsia="Calibri" w:cstheme="minorHAnsi"/>
              </w:rPr>
            </w:pPr>
            <w:r>
              <w:rPr>
                <w:rFonts w:eastAsia="Calibri" w:cstheme="minorHAnsi"/>
              </w:rPr>
              <w:t>197110, г. Санкт-Петербург, ул. Большая Зеленина, дом. 8, корп. 2, лит А, помещение 42Н, 4 этаж;</w:t>
            </w:r>
          </w:p>
          <w:p w:rsidR="00C81778" w:rsidRDefault="00AB0D4E">
            <w:pPr>
              <w:spacing w:after="0" w:line="240" w:lineRule="auto"/>
              <w:rPr>
                <w:rFonts w:eastAsia="Calibri" w:cstheme="minorHAnsi"/>
              </w:rPr>
            </w:pPr>
            <w:r>
              <w:rPr>
                <w:rFonts w:eastAsia="Calibri" w:cstheme="minorHAnsi"/>
              </w:rPr>
              <w:t xml:space="preserve">117420, г. Москва, ул. </w:t>
            </w:r>
            <w:proofErr w:type="spellStart"/>
            <w:r>
              <w:rPr>
                <w:rFonts w:eastAsia="Calibri" w:cstheme="minorHAnsi"/>
              </w:rPr>
              <w:t>Новочеремушкинская</w:t>
            </w:r>
            <w:proofErr w:type="spellEnd"/>
            <w:r>
              <w:rPr>
                <w:rFonts w:eastAsia="Calibri" w:cstheme="minorHAnsi"/>
              </w:rPr>
              <w:t>, д. 71/32.</w:t>
            </w:r>
          </w:p>
        </w:tc>
      </w:tr>
      <w:tr w:rsidR="00C81778">
        <w:trPr>
          <w:trHeight w:val="241"/>
        </w:trPr>
        <w:tc>
          <w:tcPr>
            <w:tcW w:w="3822" w:type="dxa"/>
            <w:shd w:val="clear" w:color="auto" w:fill="D0CECE" w:themeFill="background2" w:themeFillShade="E6"/>
          </w:tcPr>
          <w:p w:rsidR="00C81778" w:rsidRDefault="00AB0D4E">
            <w:pPr>
              <w:spacing w:after="0" w:line="240" w:lineRule="auto"/>
              <w:rPr>
                <w:rFonts w:eastAsia="Calibri" w:cstheme="minorHAnsi"/>
              </w:rPr>
            </w:pPr>
            <w:r>
              <w:rPr>
                <w:rFonts w:eastAsia="Calibri" w:cstheme="minorHAnsi"/>
              </w:rPr>
              <w:t>Телефон:</w:t>
            </w:r>
          </w:p>
        </w:tc>
        <w:tc>
          <w:tcPr>
            <w:tcW w:w="5512" w:type="dxa"/>
            <w:shd w:val="clear" w:color="auto" w:fill="F2F2F2" w:themeFill="background1" w:themeFillShade="F2"/>
          </w:tcPr>
          <w:p w:rsidR="00C81778" w:rsidRDefault="000F711E">
            <w:pPr>
              <w:spacing w:after="0" w:line="240" w:lineRule="auto"/>
              <w:rPr>
                <w:rFonts w:eastAsia="Calibri" w:cstheme="minorHAnsi"/>
              </w:rPr>
            </w:pPr>
            <w:hyperlink r:id="rId16" w:tooltip="tel:+7 (812) 775-00-81" w:history="1">
              <w:r w:rsidR="00AB0D4E">
                <w:rPr>
                  <w:rStyle w:val="af8"/>
                  <w:rFonts w:eastAsia="Calibri" w:cstheme="minorHAnsi"/>
                  <w:color w:val="auto"/>
                </w:rPr>
                <w:t>+7 (812) 775-00-81</w:t>
              </w:r>
            </w:hyperlink>
            <w:r w:rsidR="00AB0D4E">
              <w:rPr>
                <w:rFonts w:eastAsia="Calibri" w:cstheme="minorHAnsi"/>
              </w:rPr>
              <w:t>; </w:t>
            </w:r>
            <w:hyperlink r:id="rId17" w:tooltip="tel:+7 (499) 550-88-18" w:history="1">
              <w:r w:rsidR="00AB0D4E">
                <w:rPr>
                  <w:rStyle w:val="af8"/>
                  <w:rFonts w:eastAsia="Calibri" w:cstheme="minorHAnsi"/>
                  <w:color w:val="auto"/>
                </w:rPr>
                <w:t>+7 (499) 550-88-18</w:t>
              </w:r>
            </w:hyperlink>
            <w:r w:rsidR="00AB0D4E">
              <w:rPr>
                <w:rFonts w:eastAsia="Calibri" w:cstheme="minorHAnsi"/>
              </w:rPr>
              <w:t>.</w:t>
            </w:r>
          </w:p>
        </w:tc>
      </w:tr>
      <w:tr w:rsidR="00C81778">
        <w:trPr>
          <w:trHeight w:val="241"/>
        </w:trPr>
        <w:tc>
          <w:tcPr>
            <w:tcW w:w="3822" w:type="dxa"/>
            <w:shd w:val="clear" w:color="auto" w:fill="D0CECE" w:themeFill="background2" w:themeFillShade="E6"/>
          </w:tcPr>
          <w:p w:rsidR="00C81778" w:rsidRDefault="00AB0D4E">
            <w:pPr>
              <w:spacing w:after="0" w:line="240" w:lineRule="auto"/>
              <w:rPr>
                <w:rFonts w:eastAsia="Calibri" w:cstheme="minorHAnsi"/>
              </w:rPr>
            </w:pPr>
            <w:r>
              <w:rPr>
                <w:rFonts w:eastAsia="Calibri" w:cstheme="minorHAnsi"/>
              </w:rPr>
              <w:t>E-</w:t>
            </w:r>
            <w:proofErr w:type="spellStart"/>
            <w:r>
              <w:rPr>
                <w:rFonts w:eastAsia="Calibri" w:cstheme="minorHAnsi"/>
              </w:rPr>
              <w:t>mail</w:t>
            </w:r>
            <w:proofErr w:type="spellEnd"/>
          </w:p>
        </w:tc>
        <w:tc>
          <w:tcPr>
            <w:tcW w:w="5512" w:type="dxa"/>
            <w:shd w:val="clear" w:color="auto" w:fill="F2F2F2" w:themeFill="background1" w:themeFillShade="F2"/>
          </w:tcPr>
          <w:p w:rsidR="00C81778" w:rsidRDefault="000F711E">
            <w:pPr>
              <w:spacing w:after="0" w:line="240" w:lineRule="auto"/>
              <w:rPr>
                <w:rFonts w:eastAsia="Calibri" w:cstheme="minorHAnsi"/>
                <w:u w:val="single"/>
              </w:rPr>
            </w:pPr>
            <w:hyperlink r:id="rId18" w:tooltip="mailto:info@draga.ru" w:history="1">
              <w:r w:rsidR="00AB0D4E">
                <w:rPr>
                  <w:rStyle w:val="af8"/>
                  <w:rFonts w:eastAsia="Calibri" w:cstheme="minorHAnsi"/>
                  <w:color w:val="auto"/>
                </w:rPr>
                <w:t>info@draga.ru</w:t>
              </w:r>
            </w:hyperlink>
          </w:p>
        </w:tc>
      </w:tr>
      <w:tr w:rsidR="00C81778">
        <w:trPr>
          <w:trHeight w:val="241"/>
        </w:trPr>
        <w:tc>
          <w:tcPr>
            <w:tcW w:w="3822" w:type="dxa"/>
            <w:shd w:val="clear" w:color="auto" w:fill="D0CECE" w:themeFill="background2" w:themeFillShade="E6"/>
          </w:tcPr>
          <w:p w:rsidR="00C81778" w:rsidRDefault="00AB0D4E">
            <w:pPr>
              <w:spacing w:after="0" w:line="240" w:lineRule="auto"/>
              <w:rPr>
                <w:rFonts w:eastAsia="Calibri" w:cstheme="minorHAnsi"/>
              </w:rPr>
            </w:pPr>
            <w:r>
              <w:rPr>
                <w:rFonts w:eastAsia="Calibri" w:cstheme="minorHAnsi"/>
              </w:rPr>
              <w:t>Веб-сайт</w:t>
            </w:r>
          </w:p>
        </w:tc>
        <w:tc>
          <w:tcPr>
            <w:tcW w:w="5512" w:type="dxa"/>
            <w:shd w:val="clear" w:color="auto" w:fill="F2F2F2" w:themeFill="background1" w:themeFillShade="F2"/>
          </w:tcPr>
          <w:p w:rsidR="00C81778" w:rsidRDefault="000F711E">
            <w:pPr>
              <w:spacing w:after="0" w:line="240" w:lineRule="auto"/>
              <w:rPr>
                <w:rFonts w:eastAsia="Calibri" w:cstheme="minorHAnsi"/>
                <w:u w:val="single"/>
              </w:rPr>
            </w:pPr>
            <w:hyperlink r:id="rId19" w:tooltip="http://www.draga.ru/" w:history="1">
              <w:r w:rsidR="00AB0D4E">
                <w:rPr>
                  <w:rStyle w:val="af8"/>
                  <w:rFonts w:eastAsia="Calibri" w:cstheme="minorHAnsi"/>
                  <w:color w:val="auto"/>
                </w:rPr>
                <w:t>www.draga.ru</w:t>
              </w:r>
            </w:hyperlink>
          </w:p>
        </w:tc>
      </w:tr>
    </w:tbl>
    <w:p w:rsidR="00C81778" w:rsidRDefault="00C81778">
      <w:pPr>
        <w:spacing w:before="120"/>
        <w:jc w:val="both"/>
        <w:rPr>
          <w:rFonts w:eastAsia="Calibri" w:cstheme="minorHAnsi"/>
          <w:lang w:eastAsia="ru-RU"/>
        </w:rPr>
      </w:pPr>
    </w:p>
    <w:p w:rsidR="00C81778" w:rsidRDefault="00AB0D4E">
      <w:pPr>
        <w:rPr>
          <w:rFonts w:cstheme="minorHAnsi"/>
        </w:rPr>
      </w:pPr>
      <w:r>
        <w:br w:type="page" w:clear="all"/>
      </w:r>
    </w:p>
    <w:p w:rsidR="00C81778" w:rsidRDefault="00AB0D4E">
      <w:pPr>
        <w:pStyle w:val="1"/>
        <w:keepLines/>
        <w:spacing w:before="0" w:after="0" w:line="276" w:lineRule="auto"/>
        <w:jc w:val="left"/>
        <w:rPr>
          <w:rFonts w:asciiTheme="minorHAnsi" w:eastAsiaTheme="majorEastAsia" w:hAnsiTheme="minorHAnsi" w:cstheme="minorHAnsi"/>
          <w:color w:val="2F5496" w:themeColor="accent1" w:themeShade="BF"/>
          <w:sz w:val="22"/>
          <w:szCs w:val="22"/>
          <w:lang w:val="ru-RU" w:eastAsia="ru-RU"/>
        </w:rPr>
      </w:pPr>
      <w:bookmarkStart w:id="19" w:name="_Toc131707818"/>
      <w:r>
        <w:rPr>
          <w:rFonts w:asciiTheme="minorHAnsi" w:eastAsiaTheme="majorEastAsia" w:hAnsiTheme="minorHAnsi" w:cstheme="minorHAnsi"/>
          <w:color w:val="2F5496" w:themeColor="accent1" w:themeShade="BF"/>
          <w:sz w:val="22"/>
          <w:szCs w:val="22"/>
          <w:lang w:val="ru-RU" w:eastAsia="ru-RU"/>
        </w:rPr>
        <w:lastRenderedPageBreak/>
        <w:t>2. Операционная деятельность Компании</w:t>
      </w:r>
      <w:bookmarkEnd w:id="19"/>
    </w:p>
    <w:p w:rsidR="00C81778" w:rsidRDefault="00C81778">
      <w:pPr>
        <w:spacing w:before="120" w:after="0" w:line="240" w:lineRule="auto"/>
        <w:jc w:val="both"/>
        <w:rPr>
          <w:rFonts w:cstheme="minorHAnsi"/>
        </w:rPr>
      </w:pPr>
    </w:p>
    <w:p w:rsidR="00C81778" w:rsidRDefault="00AB0D4E">
      <w:pPr>
        <w:pStyle w:val="21"/>
        <w:keepLines/>
        <w:spacing w:after="0" w:line="276" w:lineRule="auto"/>
        <w:rPr>
          <w:rFonts w:asciiTheme="minorHAnsi" w:eastAsiaTheme="majorEastAsia" w:hAnsiTheme="minorHAnsi" w:cstheme="minorHAnsi"/>
          <w:color w:val="2F5496" w:themeColor="accent1" w:themeShade="BF"/>
          <w:sz w:val="22"/>
          <w:szCs w:val="22"/>
        </w:rPr>
      </w:pPr>
      <w:bookmarkStart w:id="20" w:name="_Toc131707819"/>
      <w:r>
        <w:rPr>
          <w:rFonts w:asciiTheme="minorHAnsi" w:eastAsiaTheme="majorEastAsia" w:hAnsiTheme="minorHAnsi" w:cstheme="minorHAnsi"/>
          <w:color w:val="2F5496" w:themeColor="accent1" w:themeShade="BF"/>
          <w:sz w:val="22"/>
          <w:szCs w:val="22"/>
        </w:rPr>
        <w:t>2.1. Основные показатели производственной и сбытовой деятельности Компании</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1273"/>
        <w:gridCol w:w="1133"/>
        <w:gridCol w:w="1130"/>
        <w:gridCol w:w="1278"/>
      </w:tblGrid>
      <w:tr w:rsidR="00C81778" w:rsidTr="000F711E">
        <w:trPr>
          <w:trHeight w:val="305"/>
        </w:trPr>
        <w:tc>
          <w:tcPr>
            <w:tcW w:w="4537" w:type="dxa"/>
            <w:shd w:val="clear" w:color="auto" w:fill="D0CECE" w:themeFill="background2" w:themeFillShade="E6"/>
            <w:vAlign w:val="center"/>
          </w:tcPr>
          <w:p w:rsidR="00C81778" w:rsidRDefault="00AB0D4E">
            <w:pPr>
              <w:spacing w:after="0" w:line="240" w:lineRule="auto"/>
              <w:jc w:val="center"/>
              <w:rPr>
                <w:rFonts w:cstheme="minorHAnsi"/>
              </w:rPr>
            </w:pPr>
            <w:r>
              <w:rPr>
                <w:rFonts w:eastAsia="Calibri" w:cstheme="minorHAnsi"/>
              </w:rPr>
              <w:t>Показатель</w:t>
            </w:r>
          </w:p>
        </w:tc>
        <w:tc>
          <w:tcPr>
            <w:tcW w:w="1274" w:type="dxa"/>
            <w:shd w:val="clear" w:color="auto" w:fill="D0CECE" w:themeFill="background2" w:themeFillShade="E6"/>
            <w:vAlign w:val="center"/>
          </w:tcPr>
          <w:p w:rsidR="00C81778" w:rsidRDefault="00AB0D4E">
            <w:pPr>
              <w:spacing w:after="0" w:line="240" w:lineRule="auto"/>
              <w:jc w:val="center"/>
              <w:rPr>
                <w:rFonts w:cstheme="minorHAnsi"/>
                <w:lang w:val="en-US"/>
              </w:rPr>
            </w:pPr>
            <w:r>
              <w:rPr>
                <w:rFonts w:eastAsia="Calibri" w:cstheme="minorHAnsi"/>
              </w:rPr>
              <w:t>202</w:t>
            </w:r>
            <w:r>
              <w:rPr>
                <w:rFonts w:eastAsia="Calibri" w:cstheme="minorHAnsi"/>
                <w:lang w:val="en-US"/>
              </w:rPr>
              <w:t>1</w:t>
            </w:r>
          </w:p>
        </w:tc>
        <w:tc>
          <w:tcPr>
            <w:tcW w:w="1134" w:type="dxa"/>
            <w:shd w:val="clear" w:color="auto" w:fill="D0CECE" w:themeFill="background2" w:themeFillShade="E6"/>
            <w:vAlign w:val="center"/>
          </w:tcPr>
          <w:p w:rsidR="00C81778" w:rsidRDefault="00AB0D4E">
            <w:pPr>
              <w:spacing w:after="0" w:line="240" w:lineRule="auto"/>
              <w:jc w:val="center"/>
              <w:rPr>
                <w:rFonts w:cstheme="minorHAnsi"/>
                <w:lang w:val="en-US"/>
              </w:rPr>
            </w:pPr>
            <w:r>
              <w:rPr>
                <w:rFonts w:eastAsia="Calibri" w:cstheme="minorHAnsi"/>
              </w:rPr>
              <w:t>202</w:t>
            </w:r>
            <w:r>
              <w:rPr>
                <w:rFonts w:eastAsia="Calibri" w:cstheme="minorHAnsi"/>
                <w:lang w:val="en-US"/>
              </w:rPr>
              <w:t>2</w:t>
            </w:r>
          </w:p>
        </w:tc>
        <w:tc>
          <w:tcPr>
            <w:tcW w:w="1131" w:type="dxa"/>
            <w:shd w:val="clear" w:color="auto" w:fill="D0CECE" w:themeFill="background2" w:themeFillShade="E6"/>
            <w:vAlign w:val="center"/>
          </w:tcPr>
          <w:p w:rsidR="00C81778" w:rsidRDefault="00AB0D4E">
            <w:pPr>
              <w:spacing w:after="0" w:line="240" w:lineRule="auto"/>
              <w:jc w:val="center"/>
              <w:rPr>
                <w:rFonts w:cstheme="minorHAnsi"/>
                <w:lang w:val="en-US"/>
              </w:rPr>
            </w:pPr>
            <w:r>
              <w:rPr>
                <w:rFonts w:eastAsia="Calibri" w:cstheme="minorHAnsi"/>
              </w:rPr>
              <w:t>202</w:t>
            </w:r>
            <w:r>
              <w:rPr>
                <w:rFonts w:eastAsia="Calibri" w:cstheme="minorHAnsi"/>
                <w:lang w:val="en-US"/>
              </w:rPr>
              <w:t>3</w:t>
            </w:r>
          </w:p>
        </w:tc>
        <w:tc>
          <w:tcPr>
            <w:tcW w:w="1279" w:type="dxa"/>
            <w:shd w:val="clear" w:color="auto" w:fill="D0CECE" w:themeFill="background2" w:themeFillShade="E6"/>
            <w:vAlign w:val="center"/>
          </w:tcPr>
          <w:p w:rsidR="00C81778" w:rsidRDefault="00AB0D4E">
            <w:pPr>
              <w:spacing w:after="0" w:line="240" w:lineRule="auto"/>
              <w:jc w:val="center"/>
              <w:rPr>
                <w:rFonts w:cstheme="minorHAnsi"/>
              </w:rPr>
            </w:pPr>
            <w:r>
              <w:rPr>
                <w:rFonts w:eastAsia="Calibri" w:cstheme="minorHAnsi"/>
              </w:rPr>
              <w:t>Изм. 202</w:t>
            </w:r>
            <w:r>
              <w:rPr>
                <w:rFonts w:eastAsia="Calibri" w:cstheme="minorHAnsi"/>
                <w:lang w:val="en-US"/>
              </w:rPr>
              <w:t>3</w:t>
            </w:r>
            <w:r>
              <w:rPr>
                <w:rFonts w:eastAsia="Calibri" w:cstheme="minorHAnsi"/>
              </w:rPr>
              <w:t>/</w:t>
            </w:r>
          </w:p>
          <w:p w:rsidR="00C81778" w:rsidRDefault="00AB0D4E">
            <w:pPr>
              <w:spacing w:after="0" w:line="240" w:lineRule="auto"/>
              <w:jc w:val="center"/>
              <w:rPr>
                <w:rFonts w:cstheme="minorHAnsi"/>
              </w:rPr>
            </w:pPr>
            <w:r>
              <w:rPr>
                <w:rFonts w:eastAsia="Calibri" w:cstheme="minorHAnsi"/>
              </w:rPr>
              <w:t>202</w:t>
            </w:r>
            <w:r>
              <w:rPr>
                <w:rFonts w:eastAsia="Calibri" w:cstheme="minorHAnsi"/>
                <w:lang w:val="en-US"/>
              </w:rPr>
              <w:t>2</w:t>
            </w:r>
            <w:r>
              <w:rPr>
                <w:rFonts w:eastAsia="Calibri" w:cstheme="minorHAnsi"/>
              </w:rPr>
              <w:t>, %</w:t>
            </w:r>
          </w:p>
        </w:tc>
      </w:tr>
      <w:tr w:rsidR="00C81778" w:rsidTr="000F711E">
        <w:trPr>
          <w:trHeight w:val="200"/>
        </w:trPr>
        <w:tc>
          <w:tcPr>
            <w:tcW w:w="4537" w:type="dxa"/>
            <w:vAlign w:val="center"/>
          </w:tcPr>
          <w:p w:rsidR="00C81778" w:rsidRDefault="00AB0D4E">
            <w:pPr>
              <w:spacing w:after="0" w:line="240" w:lineRule="auto"/>
              <w:rPr>
                <w:rFonts w:cstheme="minorHAnsi"/>
              </w:rPr>
            </w:pPr>
            <w:r>
              <w:rPr>
                <w:rFonts w:eastAsia="Calibri" w:cstheme="minorHAnsi"/>
              </w:rPr>
              <w:t>Установленная электрическая мощность на конец периода, МВт</w:t>
            </w:r>
            <w:r>
              <w:rPr>
                <w:rStyle w:val="af0"/>
                <w:rFonts w:eastAsia="Calibri" w:cstheme="minorHAnsi"/>
              </w:rPr>
              <w:footnoteReference w:id="3"/>
            </w:r>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16 497,0</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16 327,0</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16 332,0</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0,03%</w:t>
            </w:r>
          </w:p>
        </w:tc>
      </w:tr>
      <w:tr w:rsidR="00C81778" w:rsidTr="000F711E">
        <w:trPr>
          <w:trHeight w:val="200"/>
        </w:trPr>
        <w:tc>
          <w:tcPr>
            <w:tcW w:w="4537" w:type="dxa"/>
            <w:vAlign w:val="center"/>
          </w:tcPr>
          <w:p w:rsidR="00C81778" w:rsidRDefault="00AB0D4E">
            <w:pPr>
              <w:spacing w:after="0" w:line="240" w:lineRule="auto"/>
              <w:rPr>
                <w:rFonts w:cstheme="minorHAnsi"/>
              </w:rPr>
            </w:pPr>
            <w:r>
              <w:rPr>
                <w:rFonts w:eastAsia="Times New Roman" w:cstheme="minorHAnsi"/>
                <w:lang w:eastAsia="ru-RU"/>
              </w:rPr>
              <w:t>Установленная тепловая мощность (с учетом водогрейных котлов) на конец периода, Гкал/ч</w:t>
            </w:r>
            <w:r>
              <w:rPr>
                <w:rFonts w:eastAsia="Times New Roman" w:cstheme="minorHAnsi"/>
                <w:vertAlign w:val="superscript"/>
                <w:lang w:eastAsia="ru-RU"/>
              </w:rPr>
              <w:t>3</w:t>
            </w:r>
          </w:p>
        </w:tc>
        <w:tc>
          <w:tcPr>
            <w:tcW w:w="1274" w:type="dxa"/>
          </w:tcPr>
          <w:p w:rsidR="00C81778" w:rsidRDefault="00AB0D4E">
            <w:pPr>
              <w:spacing w:after="0" w:line="240" w:lineRule="auto"/>
              <w:jc w:val="right"/>
              <w:rPr>
                <w:rFonts w:cstheme="minorHAnsi"/>
                <w:color w:val="000000"/>
              </w:rPr>
            </w:pPr>
            <w:r>
              <w:rPr>
                <w:rFonts w:eastAsia="Calibri" w:cstheme="minorHAnsi"/>
                <w:color w:val="000000"/>
              </w:rPr>
              <w:t>2 787,7</w:t>
            </w:r>
          </w:p>
        </w:tc>
        <w:tc>
          <w:tcPr>
            <w:tcW w:w="1134" w:type="dxa"/>
          </w:tcPr>
          <w:p w:rsidR="00C81778" w:rsidRDefault="00AB0D4E">
            <w:pPr>
              <w:spacing w:after="0" w:line="240" w:lineRule="auto"/>
              <w:jc w:val="right"/>
              <w:rPr>
                <w:rFonts w:cstheme="minorHAnsi"/>
                <w:color w:val="000000"/>
              </w:rPr>
            </w:pPr>
            <w:r>
              <w:rPr>
                <w:rFonts w:eastAsia="Calibri" w:cstheme="minorHAnsi"/>
                <w:color w:val="000000"/>
              </w:rPr>
              <w:t>2 694,27</w:t>
            </w:r>
          </w:p>
        </w:tc>
        <w:tc>
          <w:tcPr>
            <w:tcW w:w="1131" w:type="dxa"/>
          </w:tcPr>
          <w:p w:rsidR="00C81778" w:rsidRDefault="00AB0D4E">
            <w:pPr>
              <w:spacing w:after="0" w:line="240" w:lineRule="auto"/>
              <w:jc w:val="right"/>
              <w:rPr>
                <w:rFonts w:cstheme="minorHAnsi"/>
                <w:color w:val="000000"/>
              </w:rPr>
            </w:pPr>
            <w:r>
              <w:rPr>
                <w:rFonts w:eastAsia="Calibri" w:cstheme="minorHAnsi"/>
                <w:color w:val="000000"/>
              </w:rPr>
              <w:t>2723,27</w:t>
            </w:r>
          </w:p>
        </w:tc>
        <w:tc>
          <w:tcPr>
            <w:tcW w:w="1279" w:type="dxa"/>
          </w:tcPr>
          <w:p w:rsidR="00C81778" w:rsidRDefault="00AB0D4E">
            <w:pPr>
              <w:spacing w:after="0" w:line="240" w:lineRule="auto"/>
              <w:jc w:val="right"/>
              <w:rPr>
                <w:rFonts w:cstheme="minorHAnsi"/>
                <w:color w:val="000000"/>
              </w:rPr>
            </w:pPr>
            <w:r>
              <w:rPr>
                <w:rFonts w:eastAsia="Calibri" w:cstheme="minorHAnsi"/>
                <w:color w:val="000000"/>
              </w:rPr>
              <w:t>1,08%</w:t>
            </w: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Полезный отпуск тепловой энергии (в том числе ВГО), тыс. Гкал</w:t>
            </w:r>
          </w:p>
        </w:tc>
        <w:tc>
          <w:tcPr>
            <w:tcW w:w="1274" w:type="dxa"/>
            <w:vAlign w:val="center"/>
          </w:tcPr>
          <w:p w:rsidR="00C81778" w:rsidRDefault="00AB0D4E">
            <w:pPr>
              <w:spacing w:after="0" w:line="240" w:lineRule="auto"/>
              <w:jc w:val="right"/>
              <w:rPr>
                <w:rFonts w:cstheme="minorHAnsi"/>
              </w:rPr>
            </w:pPr>
            <w:r>
              <w:rPr>
                <w:rFonts w:eastAsia="Calibri" w:cstheme="minorHAnsi"/>
              </w:rPr>
              <w:t>5 071,5</w:t>
            </w:r>
          </w:p>
        </w:tc>
        <w:tc>
          <w:tcPr>
            <w:tcW w:w="1134" w:type="dxa"/>
            <w:vAlign w:val="center"/>
          </w:tcPr>
          <w:p w:rsidR="00C81778" w:rsidRDefault="00AB0D4E">
            <w:pPr>
              <w:spacing w:after="0" w:line="240" w:lineRule="auto"/>
              <w:jc w:val="right"/>
              <w:rPr>
                <w:rFonts w:cstheme="minorHAnsi"/>
              </w:rPr>
            </w:pPr>
            <w:r>
              <w:rPr>
                <w:rFonts w:eastAsia="Times New Roman" w:cstheme="minorHAnsi"/>
                <w:color w:val="000000"/>
                <w:lang w:eastAsia="ru-RU"/>
              </w:rPr>
              <w:t>4 974,3</w:t>
            </w:r>
          </w:p>
        </w:tc>
        <w:tc>
          <w:tcPr>
            <w:tcW w:w="1131" w:type="dxa"/>
            <w:vAlign w:val="center"/>
          </w:tcPr>
          <w:p w:rsidR="00C81778" w:rsidRDefault="00AB0D4E">
            <w:pPr>
              <w:spacing w:after="0" w:line="240" w:lineRule="auto"/>
              <w:jc w:val="right"/>
              <w:rPr>
                <w:rFonts w:eastAsia="Times New Roman" w:cstheme="minorHAnsi"/>
                <w:lang w:eastAsia="ru-RU"/>
              </w:rPr>
            </w:pPr>
            <w:r>
              <w:rPr>
                <w:rFonts w:eastAsia="Times New Roman" w:cstheme="minorHAnsi"/>
                <w:lang w:eastAsia="ru-RU"/>
              </w:rPr>
              <w:t>5 039,2</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1,3%</w:t>
            </w: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Удельный расход топлива на отпуск электрической энергии, г/</w:t>
            </w:r>
            <w:proofErr w:type="spellStart"/>
            <w:r>
              <w:rPr>
                <w:rFonts w:eastAsia="Calibri" w:cstheme="minorHAnsi"/>
              </w:rPr>
              <w:t>кВт∙ч</w:t>
            </w:r>
            <w:proofErr w:type="spellEnd"/>
          </w:p>
        </w:tc>
        <w:tc>
          <w:tcPr>
            <w:tcW w:w="1274" w:type="dxa"/>
          </w:tcPr>
          <w:p w:rsidR="00C81778" w:rsidRDefault="00AB0D4E">
            <w:pPr>
              <w:spacing w:after="0" w:line="240" w:lineRule="auto"/>
              <w:jc w:val="right"/>
              <w:rPr>
                <w:rFonts w:cstheme="minorHAnsi"/>
                <w:color w:val="000000"/>
              </w:rPr>
            </w:pPr>
            <w:r>
              <w:rPr>
                <w:rFonts w:eastAsia="Calibri" w:cstheme="minorHAnsi"/>
                <w:color w:val="000000"/>
              </w:rPr>
              <w:t>333,3</w:t>
            </w:r>
          </w:p>
        </w:tc>
        <w:tc>
          <w:tcPr>
            <w:tcW w:w="1134" w:type="dxa"/>
          </w:tcPr>
          <w:p w:rsidR="00C81778" w:rsidRDefault="00AB0D4E">
            <w:pPr>
              <w:spacing w:after="0" w:line="240" w:lineRule="auto"/>
              <w:jc w:val="right"/>
              <w:rPr>
                <w:rFonts w:cstheme="minorHAnsi"/>
                <w:color w:val="000000"/>
              </w:rPr>
            </w:pPr>
            <w:r>
              <w:rPr>
                <w:rFonts w:eastAsia="Calibri" w:cstheme="minorHAnsi"/>
                <w:color w:val="000000"/>
              </w:rPr>
              <w:t>326,7</w:t>
            </w:r>
          </w:p>
        </w:tc>
        <w:tc>
          <w:tcPr>
            <w:tcW w:w="1131" w:type="dxa"/>
          </w:tcPr>
          <w:p w:rsidR="00C81778" w:rsidRDefault="00AB0D4E">
            <w:pPr>
              <w:spacing w:after="0" w:line="240" w:lineRule="auto"/>
              <w:jc w:val="right"/>
              <w:rPr>
                <w:rFonts w:cstheme="minorHAnsi"/>
                <w:color w:val="000000"/>
              </w:rPr>
            </w:pPr>
            <w:r>
              <w:rPr>
                <w:rFonts w:eastAsia="Calibri" w:cstheme="minorHAnsi"/>
                <w:color w:val="000000"/>
              </w:rPr>
              <w:t>330,3</w:t>
            </w:r>
          </w:p>
        </w:tc>
        <w:tc>
          <w:tcPr>
            <w:tcW w:w="1279" w:type="dxa"/>
          </w:tcPr>
          <w:p w:rsidR="00C81778" w:rsidRDefault="00AB0D4E">
            <w:pPr>
              <w:spacing w:after="0" w:line="240" w:lineRule="auto"/>
              <w:jc w:val="right"/>
              <w:rPr>
                <w:rFonts w:cstheme="minorHAnsi"/>
                <w:color w:val="000000"/>
              </w:rPr>
            </w:pPr>
            <w:r>
              <w:rPr>
                <w:rFonts w:eastAsia="Calibri" w:cstheme="minorHAnsi"/>
                <w:color w:val="000000"/>
              </w:rPr>
              <w:t>1,10%</w:t>
            </w: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Удельный расход топлива на отпуск тепловой энергии, кг/Гкал</w:t>
            </w:r>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166,0</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166,0</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164,0</w:t>
            </w:r>
          </w:p>
        </w:tc>
        <w:tc>
          <w:tcPr>
            <w:tcW w:w="1279" w:type="dxa"/>
            <w:vAlign w:val="center"/>
          </w:tcPr>
          <w:p w:rsidR="00C81778" w:rsidRDefault="00C81778">
            <w:pPr>
              <w:spacing w:after="0" w:line="240" w:lineRule="auto"/>
              <w:jc w:val="right"/>
              <w:rPr>
                <w:rFonts w:cstheme="minorHAnsi"/>
                <w:color w:val="000000"/>
              </w:rPr>
            </w:pPr>
          </w:p>
          <w:p w:rsidR="00C81778" w:rsidRDefault="00AB0D4E">
            <w:pPr>
              <w:spacing w:after="0" w:line="240" w:lineRule="auto"/>
              <w:jc w:val="right"/>
              <w:rPr>
                <w:rFonts w:cstheme="minorHAnsi"/>
                <w:color w:val="000000"/>
              </w:rPr>
            </w:pPr>
            <w:r>
              <w:rPr>
                <w:rFonts w:eastAsia="Calibri" w:cstheme="minorHAnsi"/>
                <w:color w:val="000000"/>
              </w:rPr>
              <w:t>-1,20%</w:t>
            </w:r>
          </w:p>
          <w:p w:rsidR="00C81778" w:rsidRDefault="00C81778">
            <w:pPr>
              <w:spacing w:after="0" w:line="240" w:lineRule="auto"/>
              <w:jc w:val="right"/>
              <w:rPr>
                <w:rFonts w:cstheme="minorHAnsi"/>
                <w:color w:val="000000"/>
              </w:rPr>
            </w:pP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Коэффициент использования установленной электрической мощности</w:t>
            </w:r>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34,48</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33,6</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37,4</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3,8 п. п.</w:t>
            </w: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Коэффициент использования установленной тепловой мощности</w:t>
            </w:r>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21,7</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21,3</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22,0</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0,7 п. п.</w:t>
            </w: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Потребление топлива:</w:t>
            </w:r>
          </w:p>
        </w:tc>
        <w:tc>
          <w:tcPr>
            <w:tcW w:w="1274" w:type="dxa"/>
            <w:vAlign w:val="center"/>
          </w:tcPr>
          <w:p w:rsidR="00C81778" w:rsidRDefault="00C81778">
            <w:pPr>
              <w:spacing w:after="0" w:line="240" w:lineRule="auto"/>
              <w:jc w:val="right"/>
              <w:rPr>
                <w:rFonts w:cstheme="minorHAnsi"/>
              </w:rPr>
            </w:pPr>
          </w:p>
        </w:tc>
        <w:tc>
          <w:tcPr>
            <w:tcW w:w="1134" w:type="dxa"/>
            <w:vAlign w:val="center"/>
          </w:tcPr>
          <w:p w:rsidR="00C81778" w:rsidRDefault="00C81778">
            <w:pPr>
              <w:spacing w:after="0" w:line="240" w:lineRule="auto"/>
              <w:jc w:val="right"/>
              <w:rPr>
                <w:rFonts w:cstheme="minorHAnsi"/>
              </w:rPr>
            </w:pPr>
          </w:p>
        </w:tc>
        <w:tc>
          <w:tcPr>
            <w:tcW w:w="1131" w:type="dxa"/>
            <w:vAlign w:val="center"/>
          </w:tcPr>
          <w:p w:rsidR="00C81778" w:rsidRDefault="00C81778">
            <w:pPr>
              <w:spacing w:after="0" w:line="240" w:lineRule="auto"/>
              <w:jc w:val="right"/>
              <w:rPr>
                <w:rFonts w:eastAsia="Times New Roman" w:cstheme="minorHAnsi"/>
                <w:lang w:eastAsia="ru-RU"/>
              </w:rPr>
            </w:pPr>
          </w:p>
        </w:tc>
        <w:tc>
          <w:tcPr>
            <w:tcW w:w="1279" w:type="dxa"/>
            <w:vAlign w:val="center"/>
          </w:tcPr>
          <w:p w:rsidR="00C81778" w:rsidRDefault="00C81778">
            <w:pPr>
              <w:spacing w:after="0" w:line="240" w:lineRule="auto"/>
              <w:jc w:val="right"/>
              <w:rPr>
                <w:rFonts w:cstheme="minorHAnsi"/>
                <w:color w:val="000000"/>
              </w:rPr>
            </w:pP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 Уголь, тыс. т</w:t>
            </w:r>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4 583,7</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2 032,8</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2 536,1</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24,75%</w:t>
            </w:r>
          </w:p>
        </w:tc>
      </w:tr>
      <w:tr w:rsidR="00C81778" w:rsidTr="000F711E">
        <w:trPr>
          <w:trHeight w:val="561"/>
        </w:trPr>
        <w:tc>
          <w:tcPr>
            <w:tcW w:w="4537" w:type="dxa"/>
            <w:vAlign w:val="center"/>
          </w:tcPr>
          <w:p w:rsidR="00C81778" w:rsidRDefault="00AB0D4E">
            <w:pPr>
              <w:spacing w:after="0" w:line="240" w:lineRule="auto"/>
              <w:rPr>
                <w:rFonts w:cstheme="minorHAnsi"/>
                <w:lang w:val="en-US"/>
              </w:rPr>
            </w:pPr>
            <w:r>
              <w:rPr>
                <w:rFonts w:eastAsia="Calibri" w:cstheme="minorHAnsi"/>
              </w:rPr>
              <w:t xml:space="preserve">- Газ, </w:t>
            </w:r>
            <w:r>
              <w:rPr>
                <w:rFonts w:eastAsia="Times New Roman" w:cstheme="minorHAnsi"/>
                <w:color w:val="000000"/>
                <w:lang w:eastAsia="ru-RU"/>
              </w:rPr>
              <w:t>млн м</w:t>
            </w:r>
            <w:r>
              <w:rPr>
                <w:rFonts w:eastAsia="Times New Roman" w:cstheme="minorHAnsi"/>
                <w:color w:val="000000"/>
                <w:vertAlign w:val="superscript"/>
                <w:lang w:eastAsia="ru-RU"/>
              </w:rPr>
              <w:t>3</w:t>
            </w:r>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11 642,4</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12 494,5</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13 591,2</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8,78</w:t>
            </w:r>
          </w:p>
        </w:tc>
      </w:tr>
      <w:tr w:rsidR="00C81778" w:rsidTr="000F711E">
        <w:trPr>
          <w:trHeight w:val="20"/>
        </w:trPr>
        <w:tc>
          <w:tcPr>
            <w:tcW w:w="4537" w:type="dxa"/>
            <w:vAlign w:val="center"/>
          </w:tcPr>
          <w:p w:rsidR="00C81778" w:rsidRDefault="00AB0D4E">
            <w:pPr>
              <w:spacing w:after="0" w:line="240" w:lineRule="auto"/>
              <w:rPr>
                <w:rFonts w:cstheme="minorHAnsi"/>
              </w:rPr>
            </w:pPr>
            <w:r>
              <w:rPr>
                <w:rFonts w:eastAsia="Calibri" w:cstheme="minorHAnsi"/>
              </w:rPr>
              <w:t>- Мазут, тыс. т</w:t>
            </w:r>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26,2</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6,4</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5,8</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-9,37%</w:t>
            </w:r>
          </w:p>
        </w:tc>
      </w:tr>
      <w:tr w:rsidR="00C81778" w:rsidTr="000F711E">
        <w:trPr>
          <w:trHeight w:val="356"/>
        </w:trPr>
        <w:tc>
          <w:tcPr>
            <w:tcW w:w="4537" w:type="dxa"/>
            <w:vAlign w:val="center"/>
          </w:tcPr>
          <w:p w:rsidR="00C81778" w:rsidRDefault="00AB0D4E">
            <w:pPr>
              <w:spacing w:after="0" w:line="240" w:lineRule="auto"/>
              <w:rPr>
                <w:rFonts w:cstheme="minorHAnsi"/>
              </w:rPr>
            </w:pPr>
            <w:r>
              <w:rPr>
                <w:rFonts w:eastAsia="Calibri" w:cstheme="minorHAnsi"/>
              </w:rPr>
              <w:t xml:space="preserve">- Дизельное топливо, </w:t>
            </w:r>
            <w:proofErr w:type="spellStart"/>
            <w:r>
              <w:rPr>
                <w:rFonts w:eastAsia="Calibri" w:cstheme="minorHAnsi"/>
              </w:rPr>
              <w:t>тыс.т</w:t>
            </w:r>
            <w:proofErr w:type="spellEnd"/>
          </w:p>
        </w:tc>
        <w:tc>
          <w:tcPr>
            <w:tcW w:w="1274" w:type="dxa"/>
            <w:vAlign w:val="center"/>
          </w:tcPr>
          <w:p w:rsidR="00C81778" w:rsidRDefault="00AB0D4E">
            <w:pPr>
              <w:spacing w:after="0" w:line="240" w:lineRule="auto"/>
              <w:jc w:val="right"/>
              <w:rPr>
                <w:rFonts w:cstheme="minorHAnsi"/>
                <w:color w:val="000000"/>
              </w:rPr>
            </w:pPr>
            <w:r>
              <w:rPr>
                <w:rFonts w:eastAsia="Calibri" w:cstheme="minorHAnsi"/>
                <w:color w:val="000000"/>
              </w:rPr>
              <w:t>0,046</w:t>
            </w:r>
          </w:p>
        </w:tc>
        <w:tc>
          <w:tcPr>
            <w:tcW w:w="1134" w:type="dxa"/>
            <w:vAlign w:val="center"/>
          </w:tcPr>
          <w:p w:rsidR="00C81778" w:rsidRDefault="00AB0D4E">
            <w:pPr>
              <w:spacing w:after="0" w:line="240" w:lineRule="auto"/>
              <w:jc w:val="right"/>
              <w:rPr>
                <w:rFonts w:cstheme="minorHAnsi"/>
                <w:color w:val="000000"/>
              </w:rPr>
            </w:pPr>
            <w:r>
              <w:rPr>
                <w:rFonts w:eastAsia="Calibri" w:cstheme="minorHAnsi"/>
                <w:color w:val="000000"/>
              </w:rPr>
              <w:t>0,046</w:t>
            </w:r>
          </w:p>
        </w:tc>
        <w:tc>
          <w:tcPr>
            <w:tcW w:w="1131" w:type="dxa"/>
            <w:vAlign w:val="center"/>
          </w:tcPr>
          <w:p w:rsidR="00C81778" w:rsidRDefault="00AB0D4E">
            <w:pPr>
              <w:spacing w:after="0" w:line="240" w:lineRule="auto"/>
              <w:jc w:val="right"/>
              <w:rPr>
                <w:rFonts w:cstheme="minorHAnsi"/>
                <w:color w:val="000000"/>
              </w:rPr>
            </w:pPr>
            <w:r>
              <w:rPr>
                <w:rFonts w:eastAsia="Calibri" w:cstheme="minorHAnsi"/>
                <w:color w:val="000000"/>
              </w:rPr>
              <w:t>0,0197</w:t>
            </w:r>
          </w:p>
        </w:tc>
        <w:tc>
          <w:tcPr>
            <w:tcW w:w="1279" w:type="dxa"/>
            <w:vAlign w:val="center"/>
          </w:tcPr>
          <w:p w:rsidR="00C81778" w:rsidRDefault="00AB0D4E">
            <w:pPr>
              <w:spacing w:after="0" w:line="240" w:lineRule="auto"/>
              <w:jc w:val="right"/>
              <w:rPr>
                <w:rFonts w:cstheme="minorHAnsi"/>
                <w:color w:val="000000"/>
              </w:rPr>
            </w:pPr>
            <w:r>
              <w:rPr>
                <w:rFonts w:eastAsia="Calibri" w:cstheme="minorHAnsi"/>
                <w:color w:val="000000"/>
              </w:rPr>
              <w:t>-57,17%</w:t>
            </w:r>
          </w:p>
        </w:tc>
      </w:tr>
    </w:tbl>
    <w:p w:rsidR="00C81778" w:rsidRDefault="00AB0D4E">
      <w:pPr>
        <w:rPr>
          <w:rFonts w:cstheme="minorHAnsi"/>
          <w:i/>
          <w:iCs/>
        </w:rPr>
      </w:pPr>
      <w:r>
        <w:rPr>
          <w:rFonts w:cstheme="minorHAnsi"/>
          <w:i/>
          <w:iCs/>
        </w:rPr>
        <w:t>* Показатели не включают показатели дочерних и зависимых компаний Общества.</w:t>
      </w:r>
    </w:p>
    <w:p w:rsidR="00C81778" w:rsidRDefault="00AB0D4E">
      <w:pPr>
        <w:rPr>
          <w:rFonts w:eastAsiaTheme="majorEastAsia" w:cstheme="minorHAnsi"/>
          <w:b/>
          <w:bCs/>
          <w:color w:val="1F3763" w:themeColor="accent1" w:themeShade="7F"/>
          <w:lang w:eastAsia="ru-RU"/>
        </w:rPr>
      </w:pPr>
      <w:r>
        <w:rPr>
          <w:rFonts w:eastAsiaTheme="majorEastAsia" w:cstheme="minorHAnsi"/>
          <w:b/>
          <w:bCs/>
          <w:color w:val="1F3763" w:themeColor="accent1" w:themeShade="7F"/>
          <w:lang w:eastAsia="ru-RU"/>
        </w:rPr>
        <w:t>Коэффициент использования установленной мощности</w:t>
      </w:r>
    </w:p>
    <w:p w:rsidR="00C81778" w:rsidRDefault="00AB0D4E">
      <w:pPr>
        <w:spacing w:before="20" w:after="0" w:line="240" w:lineRule="auto"/>
        <w:ind w:firstLine="709"/>
        <w:jc w:val="both"/>
        <w:rPr>
          <w:rFonts w:cstheme="minorHAnsi"/>
        </w:rPr>
      </w:pPr>
      <w:r>
        <w:rPr>
          <w:rFonts w:cstheme="minorHAnsi"/>
        </w:rPr>
        <w:t>Показатель коэффициента использования установленной мощности (далее – КИУМ) напрямую зависит от выработки электрической энергии и установленной электрической мощности филиалов ПАО «ОГК-2».</w:t>
      </w:r>
    </w:p>
    <w:p w:rsidR="00C81778" w:rsidRDefault="00AB0D4E">
      <w:pPr>
        <w:spacing w:before="20" w:after="0" w:line="240" w:lineRule="auto"/>
        <w:ind w:firstLine="709"/>
        <w:jc w:val="both"/>
        <w:rPr>
          <w:rFonts w:cstheme="minorHAnsi"/>
        </w:rPr>
      </w:pPr>
      <w:r>
        <w:rPr>
          <w:rFonts w:cstheme="minorHAnsi"/>
        </w:rPr>
        <w:t xml:space="preserve">За 2023 год КИУМ увеличился на 3,8 </w:t>
      </w:r>
      <w:proofErr w:type="spellStart"/>
      <w:r>
        <w:rPr>
          <w:rFonts w:cstheme="minorHAnsi"/>
        </w:rPr>
        <w:t>п.п</w:t>
      </w:r>
      <w:proofErr w:type="spellEnd"/>
      <w:r>
        <w:rPr>
          <w:rFonts w:cstheme="minorHAnsi"/>
        </w:rPr>
        <w:t>. по сравнению с 2022 годом по причине увеличения выработки на 10,1%.</w:t>
      </w:r>
    </w:p>
    <w:p w:rsidR="00C81778" w:rsidRDefault="00AB0D4E">
      <w:pPr>
        <w:spacing w:before="20" w:after="0" w:line="240" w:lineRule="auto"/>
        <w:ind w:firstLine="709"/>
        <w:jc w:val="both"/>
        <w:rPr>
          <w:rFonts w:cstheme="minorHAnsi"/>
        </w:rPr>
      </w:pPr>
      <w:r>
        <w:rPr>
          <w:rFonts w:cstheme="minorHAnsi"/>
        </w:rPr>
        <w:t xml:space="preserve">Наибольший КИУМ в 2023 г. наблюдался у </w:t>
      </w:r>
      <w:proofErr w:type="spellStart"/>
      <w:r>
        <w:rPr>
          <w:rFonts w:cstheme="minorHAnsi"/>
        </w:rPr>
        <w:t>Серовской</w:t>
      </w:r>
      <w:proofErr w:type="spellEnd"/>
      <w:r>
        <w:rPr>
          <w:rFonts w:cstheme="minorHAnsi"/>
        </w:rPr>
        <w:t xml:space="preserve"> ГРЭС – 69,1 </w:t>
      </w:r>
      <w:proofErr w:type="spellStart"/>
      <w:r>
        <w:rPr>
          <w:rFonts w:cstheme="minorHAnsi"/>
        </w:rPr>
        <w:t>п.п</w:t>
      </w:r>
      <w:proofErr w:type="spellEnd"/>
      <w:r>
        <w:rPr>
          <w:rFonts w:cstheme="minorHAnsi"/>
        </w:rPr>
        <w:t>.</w:t>
      </w:r>
    </w:p>
    <w:p w:rsidR="00C81778" w:rsidRDefault="00AB0D4E">
      <w:pPr>
        <w:spacing w:before="20" w:after="0" w:line="240" w:lineRule="auto"/>
        <w:ind w:firstLine="709"/>
        <w:jc w:val="both"/>
        <w:rPr>
          <w:rFonts w:cstheme="minorHAnsi"/>
        </w:rPr>
      </w:pPr>
      <w:r>
        <w:rPr>
          <w:rFonts w:cstheme="minorHAnsi"/>
        </w:rPr>
        <w:t xml:space="preserve">Коэффициент использования установленной тепловой мощности снизился на 0,7 </w:t>
      </w:r>
      <w:proofErr w:type="spellStart"/>
      <w:r>
        <w:rPr>
          <w:rFonts w:cstheme="minorHAnsi"/>
        </w:rPr>
        <w:t>п.п</w:t>
      </w:r>
      <w:proofErr w:type="spellEnd"/>
      <w:r>
        <w:rPr>
          <w:rFonts w:cstheme="minorHAnsi"/>
        </w:rPr>
        <w:t>. по сравнению с предыдущим годом.</w:t>
      </w:r>
    </w:p>
    <w:p w:rsidR="00C81778" w:rsidRDefault="00AB0D4E">
      <w:pPr>
        <w:spacing w:before="120" w:after="0" w:line="240" w:lineRule="auto"/>
        <w:jc w:val="both"/>
        <w:rPr>
          <w:rFonts w:cstheme="minorHAnsi"/>
        </w:rPr>
      </w:pPr>
      <w:r>
        <w:rPr>
          <w:noProof/>
          <w:lang w:eastAsia="ru-RU"/>
        </w:rPr>
        <w:lastRenderedPageBreak/>
        <w:drawing>
          <wp:inline distT="0" distB="0" distL="0" distR="0">
            <wp:extent cx="5940425" cy="3819525"/>
            <wp:effectExtent l="0" t="0" r="0" b="0"/>
            <wp:docPr id="6"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C81778" w:rsidRDefault="00AB0D4E">
      <w:pPr>
        <w:pStyle w:val="31"/>
        <w:keepLines/>
        <w:spacing w:before="120" w:after="0"/>
        <w:jc w:val="both"/>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Удельный расход топлива</w:t>
      </w:r>
    </w:p>
    <w:p w:rsidR="00C81778" w:rsidRDefault="00AB0D4E">
      <w:pPr>
        <w:spacing w:before="20" w:after="0" w:line="240" w:lineRule="auto"/>
        <w:ind w:firstLine="709"/>
        <w:jc w:val="both"/>
        <w:rPr>
          <w:rFonts w:cstheme="minorHAnsi"/>
        </w:rPr>
      </w:pPr>
      <w:r>
        <w:rPr>
          <w:rFonts w:cstheme="minorHAnsi"/>
        </w:rPr>
        <w:t>Удельный расход условного топлива (далее – УРУТ) на отпуск электроэнергии по ПАО «ОГК-2» за 2023 год составил 330,3 г/</w:t>
      </w:r>
      <w:proofErr w:type="spellStart"/>
      <w:r>
        <w:rPr>
          <w:rFonts w:cstheme="minorHAnsi"/>
        </w:rPr>
        <w:t>кВтч</w:t>
      </w:r>
      <w:proofErr w:type="spellEnd"/>
      <w:r>
        <w:rPr>
          <w:rFonts w:cstheme="minorHAnsi"/>
        </w:rPr>
        <w:t>, что на 3,6 г/</w:t>
      </w:r>
      <w:proofErr w:type="spellStart"/>
      <w:r>
        <w:rPr>
          <w:rFonts w:cstheme="minorHAnsi"/>
        </w:rPr>
        <w:t>кВтч</w:t>
      </w:r>
      <w:proofErr w:type="spellEnd"/>
      <w:r>
        <w:rPr>
          <w:rFonts w:cstheme="minorHAnsi"/>
        </w:rPr>
        <w:t xml:space="preserve"> выше показателя 2022 года.</w:t>
      </w:r>
    </w:p>
    <w:p w:rsidR="00C81778" w:rsidRDefault="00AB0D4E">
      <w:pPr>
        <w:spacing w:before="20" w:after="0" w:line="240" w:lineRule="auto"/>
        <w:ind w:firstLine="709"/>
        <w:jc w:val="both"/>
        <w:rPr>
          <w:rFonts w:cstheme="minorHAnsi"/>
        </w:rPr>
      </w:pPr>
      <w:r>
        <w:rPr>
          <w:rFonts w:cstheme="minorHAnsi"/>
        </w:rPr>
        <w:t>УРУТ на отпуск тепловой энергии по ПАО «ОГК-2» за 2023 год составил 164,0 кг/Гкал, на 2,0 кг/Гкал ниже уровня 2022 года.</w:t>
      </w:r>
    </w:p>
    <w:p w:rsidR="00C81778" w:rsidRDefault="00AB0D4E">
      <w:pPr>
        <w:spacing w:before="20" w:after="0" w:line="240" w:lineRule="auto"/>
        <w:ind w:firstLine="709"/>
        <w:jc w:val="both"/>
        <w:rPr>
          <w:rFonts w:cstheme="minorHAnsi"/>
        </w:rPr>
      </w:pPr>
      <w:r>
        <w:rPr>
          <w:rFonts w:cstheme="minorHAnsi"/>
        </w:rPr>
        <w:t>Факторы, повлиявшие на увеличение УРУТ на отпуск электроэнергии:</w:t>
      </w:r>
    </w:p>
    <w:p w:rsidR="00C81778" w:rsidRDefault="00AB0D4E">
      <w:pPr>
        <w:spacing w:before="20" w:after="0" w:line="240" w:lineRule="auto"/>
        <w:ind w:firstLine="709"/>
        <w:jc w:val="both"/>
        <w:rPr>
          <w:rFonts w:cstheme="minorHAnsi"/>
        </w:rPr>
      </w:pPr>
      <w:r>
        <w:rPr>
          <w:rFonts w:cstheme="minorHAnsi"/>
        </w:rPr>
        <w:t>- изменение структуры выработки э/э (+3,2 г/</w:t>
      </w:r>
      <w:proofErr w:type="spellStart"/>
      <w:r>
        <w:rPr>
          <w:rFonts w:cstheme="minorHAnsi"/>
        </w:rPr>
        <w:t>кВтч</w:t>
      </w:r>
      <w:proofErr w:type="spellEnd"/>
      <w:r>
        <w:rPr>
          <w:rFonts w:cstheme="minorHAnsi"/>
        </w:rPr>
        <w:t xml:space="preserve">): снижение доли отпуска э/э </w:t>
      </w:r>
      <w:proofErr w:type="spellStart"/>
      <w:r>
        <w:rPr>
          <w:rFonts w:cstheme="minorHAnsi"/>
        </w:rPr>
        <w:t>Сургутской</w:t>
      </w:r>
      <w:proofErr w:type="spellEnd"/>
      <w:r>
        <w:rPr>
          <w:rFonts w:cstheme="minorHAnsi"/>
        </w:rPr>
        <w:t xml:space="preserve"> ГРЭС-1, Череповецкой ГРЭС, Адлерской ТЭС с уровнем УРУТ ниже среднего; увеличение доли отпуска э/э Рязанской ГРЭС, Ставропольской ГРЭС, Псковской ГРЭС с уровнем УРУТ выше среднего.</w:t>
      </w:r>
    </w:p>
    <w:p w:rsidR="00C81778" w:rsidRDefault="00AB0D4E">
      <w:pPr>
        <w:spacing w:before="20" w:after="0" w:line="240" w:lineRule="auto"/>
        <w:ind w:firstLine="709"/>
        <w:jc w:val="both"/>
        <w:rPr>
          <w:rFonts w:cstheme="minorHAnsi"/>
        </w:rPr>
      </w:pPr>
      <w:r>
        <w:rPr>
          <w:rFonts w:cstheme="minorHAnsi"/>
        </w:rPr>
        <w:t>- изменение экономичности работы оборудования (+0,4 г/</w:t>
      </w:r>
      <w:proofErr w:type="spellStart"/>
      <w:r>
        <w:rPr>
          <w:rFonts w:cstheme="minorHAnsi"/>
        </w:rPr>
        <w:t>кВтч</w:t>
      </w:r>
      <w:proofErr w:type="spellEnd"/>
      <w:r>
        <w:rPr>
          <w:rFonts w:cstheme="minorHAnsi"/>
        </w:rPr>
        <w:t xml:space="preserve">): снижение экономичности работы </w:t>
      </w:r>
      <w:proofErr w:type="spellStart"/>
      <w:r>
        <w:rPr>
          <w:rFonts w:cstheme="minorHAnsi"/>
        </w:rPr>
        <w:t>Сургутской</w:t>
      </w:r>
      <w:proofErr w:type="spellEnd"/>
      <w:r>
        <w:rPr>
          <w:rFonts w:cstheme="minorHAnsi"/>
        </w:rPr>
        <w:t xml:space="preserve"> ГРЭС-1, Ставропольской ГРЭС, </w:t>
      </w:r>
      <w:proofErr w:type="spellStart"/>
      <w:r>
        <w:rPr>
          <w:rFonts w:cstheme="minorHAnsi"/>
        </w:rPr>
        <w:t>Новочеркасской</w:t>
      </w:r>
      <w:proofErr w:type="spellEnd"/>
      <w:r>
        <w:rPr>
          <w:rFonts w:cstheme="minorHAnsi"/>
        </w:rPr>
        <w:t xml:space="preserve"> ГРЭС, Череповецкой ГРЭС, </w:t>
      </w:r>
      <w:proofErr w:type="spellStart"/>
      <w:r>
        <w:rPr>
          <w:rFonts w:cstheme="minorHAnsi"/>
        </w:rPr>
        <w:t>Киришской</w:t>
      </w:r>
      <w:proofErr w:type="spellEnd"/>
      <w:r>
        <w:rPr>
          <w:rFonts w:cstheme="minorHAnsi"/>
        </w:rPr>
        <w:t xml:space="preserve"> ГРЭС, Адлерской ТЭС, Грозненской ТЭС.</w:t>
      </w:r>
    </w:p>
    <w:p w:rsidR="00C81778" w:rsidRDefault="00AB0D4E">
      <w:pPr>
        <w:spacing w:before="20" w:after="0" w:line="240" w:lineRule="auto"/>
        <w:ind w:firstLine="709"/>
        <w:jc w:val="both"/>
        <w:rPr>
          <w:rFonts w:cstheme="minorHAnsi"/>
        </w:rPr>
      </w:pPr>
      <w:r>
        <w:rPr>
          <w:rFonts w:cstheme="minorHAnsi"/>
        </w:rPr>
        <w:t>УРУТ на отпуск тепловой энергии относительно 2022 года на 2,0 кг/Гкал ниже.</w:t>
      </w:r>
    </w:p>
    <w:p w:rsidR="00C81778" w:rsidRDefault="00AB0D4E">
      <w:pPr>
        <w:spacing w:before="120" w:after="0" w:line="240" w:lineRule="auto"/>
        <w:jc w:val="both"/>
        <w:rPr>
          <w:rFonts w:cstheme="minorHAnsi"/>
        </w:rPr>
      </w:pPr>
      <w:r>
        <w:rPr>
          <w:noProof/>
          <w:lang w:eastAsia="ru-RU"/>
        </w:rPr>
        <w:drawing>
          <wp:inline distT="0" distB="0" distL="0" distR="0">
            <wp:extent cx="4752975" cy="2743200"/>
            <wp:effectExtent l="0" t="0" r="0" b="0"/>
            <wp:docPr id="7"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81778" w:rsidRDefault="00AB0D4E">
      <w:pPr>
        <w:spacing w:before="120" w:after="0" w:line="240" w:lineRule="auto"/>
        <w:jc w:val="both"/>
        <w:rPr>
          <w:rFonts w:cstheme="minorHAnsi"/>
        </w:rPr>
      </w:pPr>
      <w:r>
        <w:rPr>
          <w:noProof/>
          <w:lang w:eastAsia="ru-RU"/>
        </w:rPr>
        <w:lastRenderedPageBreak/>
        <w:drawing>
          <wp:inline distT="0" distB="0" distL="0" distR="0">
            <wp:extent cx="4714875" cy="2743200"/>
            <wp:effectExtent l="0" t="0" r="0" b="0"/>
            <wp:docPr id="8"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81778" w:rsidRDefault="00C81778">
      <w:pPr>
        <w:spacing w:before="120" w:after="0" w:line="240" w:lineRule="auto"/>
        <w:jc w:val="both"/>
        <w:rPr>
          <w:rFonts w:cstheme="minorHAnsi"/>
        </w:rPr>
      </w:pPr>
    </w:p>
    <w:p w:rsidR="00C81778" w:rsidRDefault="00AB0D4E">
      <w:pPr>
        <w:pStyle w:val="21"/>
        <w:keepLines/>
        <w:spacing w:after="0" w:line="276" w:lineRule="auto"/>
        <w:rPr>
          <w:rFonts w:asciiTheme="minorHAnsi" w:eastAsiaTheme="majorEastAsia" w:hAnsiTheme="minorHAnsi" w:cstheme="minorHAnsi"/>
          <w:color w:val="2F5496" w:themeColor="accent1" w:themeShade="BF"/>
          <w:sz w:val="22"/>
          <w:szCs w:val="22"/>
        </w:rPr>
      </w:pPr>
      <w:bookmarkStart w:id="21" w:name="_Toc131707821"/>
      <w:r>
        <w:rPr>
          <w:rFonts w:asciiTheme="minorHAnsi" w:eastAsiaTheme="majorEastAsia" w:hAnsiTheme="minorHAnsi" w:cstheme="minorHAnsi"/>
          <w:color w:val="2F5496" w:themeColor="accent1" w:themeShade="BF"/>
          <w:sz w:val="22"/>
          <w:szCs w:val="22"/>
        </w:rPr>
        <w:t xml:space="preserve">2.3. Политика Компании в области </w:t>
      </w:r>
      <w:bookmarkEnd w:id="21"/>
      <w:r>
        <w:rPr>
          <w:rFonts w:asciiTheme="minorHAnsi" w:eastAsiaTheme="majorEastAsia" w:hAnsiTheme="minorHAnsi" w:cstheme="minorHAnsi"/>
          <w:color w:val="2F5496" w:themeColor="accent1" w:themeShade="BF"/>
          <w:sz w:val="22"/>
          <w:szCs w:val="22"/>
        </w:rPr>
        <w:t>охраны окружающей среды и социальная политика</w:t>
      </w:r>
    </w:p>
    <w:p w:rsidR="00C81778" w:rsidRDefault="00AB0D4E">
      <w:pPr>
        <w:pBdr>
          <w:top w:val="single" w:sz="4" w:space="1" w:color="4472C4" w:themeColor="accent1"/>
          <w:left w:val="single" w:sz="4" w:space="4" w:color="4472C4" w:themeColor="accent1"/>
          <w:bottom w:val="single" w:sz="4" w:space="1" w:color="4472C4" w:themeColor="accent1"/>
          <w:right w:val="single" w:sz="4" w:space="4" w:color="4472C4" w:themeColor="accent1"/>
        </w:pBdr>
        <w:shd w:val="clear" w:color="auto" w:fill="DEEAF6" w:themeFill="accent5" w:themeFillTint="33"/>
        <w:spacing w:after="120" w:line="240" w:lineRule="auto"/>
        <w:jc w:val="both"/>
        <w:rPr>
          <w:rFonts w:cstheme="minorHAnsi"/>
        </w:rPr>
      </w:pPr>
      <w:r>
        <w:rPr>
          <w:rFonts w:cstheme="minorHAnsi"/>
        </w:rPr>
        <w:t>Информация о политике Компании в области окружающей среды и социальной политике приведена в Отчете об устойчивом развитии Компании за 2023 год (будет указана ссылка на Отчет об устойчивом развитии за 2023 год</w:t>
      </w:r>
      <w:proofErr w:type="gramStart"/>
      <w:r>
        <w:rPr>
          <w:rFonts w:cstheme="minorHAnsi"/>
        </w:rPr>
        <w:t xml:space="preserve">).  </w:t>
      </w:r>
      <w:proofErr w:type="gramEnd"/>
      <w:r>
        <w:br w:type="page" w:clear="all"/>
      </w:r>
    </w:p>
    <w:p w:rsidR="00C81778" w:rsidRDefault="00AB0D4E">
      <w:pPr>
        <w:pStyle w:val="1"/>
        <w:keepLines/>
        <w:spacing w:before="0" w:after="0" w:line="276" w:lineRule="auto"/>
        <w:jc w:val="left"/>
        <w:rPr>
          <w:rFonts w:asciiTheme="minorHAnsi" w:eastAsiaTheme="majorEastAsia" w:hAnsiTheme="minorHAnsi" w:cstheme="minorHAnsi"/>
          <w:color w:val="2F5496" w:themeColor="accent1" w:themeShade="BF"/>
          <w:sz w:val="22"/>
          <w:szCs w:val="22"/>
          <w:lang w:val="ru-RU" w:eastAsia="ru-RU"/>
        </w:rPr>
      </w:pPr>
      <w:bookmarkStart w:id="22" w:name="_Toc131707822"/>
      <w:r>
        <w:rPr>
          <w:rFonts w:asciiTheme="minorHAnsi" w:eastAsiaTheme="majorEastAsia" w:hAnsiTheme="minorHAnsi" w:cstheme="minorHAnsi"/>
          <w:color w:val="2F5496" w:themeColor="accent1" w:themeShade="BF"/>
          <w:sz w:val="22"/>
          <w:szCs w:val="22"/>
          <w:lang w:val="ru-RU" w:eastAsia="ru-RU"/>
        </w:rPr>
        <w:lastRenderedPageBreak/>
        <w:t>3. Управление рисками и внутренний контроль</w:t>
      </w:r>
      <w:bookmarkEnd w:id="22"/>
    </w:p>
    <w:p w:rsidR="00C81778" w:rsidRDefault="00AB0D4E">
      <w:pPr>
        <w:spacing w:after="0" w:line="240" w:lineRule="auto"/>
        <w:ind w:firstLine="567"/>
        <w:jc w:val="both"/>
        <w:rPr>
          <w:rFonts w:cstheme="minorHAnsi"/>
        </w:rPr>
      </w:pPr>
      <w:r>
        <w:rPr>
          <w:rFonts w:cstheme="minorHAnsi"/>
        </w:rPr>
        <w:t xml:space="preserve">Система управления рисками и внутреннего контроля Общества (далее – </w:t>
      </w:r>
      <w:proofErr w:type="spellStart"/>
      <w:r>
        <w:rPr>
          <w:rFonts w:cstheme="minorHAnsi"/>
        </w:rPr>
        <w:t>СУРиВК</w:t>
      </w:r>
      <w:proofErr w:type="spellEnd"/>
      <w:r>
        <w:rPr>
          <w:rFonts w:cstheme="minorHAnsi"/>
        </w:rPr>
        <w:t>) основывается на рекомендациях международных профессиональных организаций, на международных и российских стандартах, методических документах Группы Газпром в области управления рисками и внутреннего контроля, а также рекомендациях Банка России по организации управления рисками, внутреннего контроля, внутреннего аудита, работы Комитета Совета директоров по аудиту в публичных акционерных обществах, и принципах Кодекса корпоративного управления.</w:t>
      </w:r>
    </w:p>
    <w:p w:rsidR="00C81778" w:rsidRDefault="00AB0D4E">
      <w:pPr>
        <w:spacing w:after="0" w:line="240" w:lineRule="auto"/>
        <w:ind w:firstLine="567"/>
        <w:jc w:val="both"/>
        <w:rPr>
          <w:rFonts w:cstheme="minorHAnsi"/>
        </w:rPr>
      </w:pPr>
      <w:r>
        <w:rPr>
          <w:rFonts w:cstheme="minorHAnsi"/>
        </w:rPr>
        <w:t>ПАО «ОГК-2», признавая, что осуществление деятельности подвержено воздействию неопределенностей в виде рисков, принимает меры по управлению рисками с целью обеспечения достаточных гарантий достижения целей, поставленных перед Обществом. В Компании разработана, утверждена решением Совета Директоров (протокол №305 от 28.07.2023) и действует Политика управления рисками и внутреннего контроля, которая определяет цели, задачи и компоненты системы управления рисками и внутреннего контроля, принципы ее функционирования, а также функции участников системы управления рисками и внутреннего контроля. Политикой управления рисками и внутреннего контроля определены следующие цели:</w:t>
      </w:r>
    </w:p>
    <w:p w:rsidR="00C81778" w:rsidRDefault="00AB0D4E">
      <w:pPr>
        <w:pStyle w:val="af2"/>
        <w:numPr>
          <w:ilvl w:val="0"/>
          <w:numId w:val="12"/>
        </w:numPr>
        <w:spacing w:after="0" w:line="240" w:lineRule="auto"/>
        <w:ind w:left="851" w:hanging="284"/>
        <w:jc w:val="both"/>
        <w:rPr>
          <w:rFonts w:cstheme="minorHAnsi"/>
        </w:rPr>
      </w:pPr>
      <w:r>
        <w:rPr>
          <w:rFonts w:cstheme="minorHAnsi"/>
        </w:rPr>
        <w:t>обеспечение достаточной уверенности в достижении стоящих перед Обществом целей;</w:t>
      </w:r>
    </w:p>
    <w:p w:rsidR="00C81778" w:rsidRDefault="00AB0D4E">
      <w:pPr>
        <w:pStyle w:val="af2"/>
        <w:numPr>
          <w:ilvl w:val="0"/>
          <w:numId w:val="12"/>
        </w:numPr>
        <w:spacing w:after="0" w:line="240" w:lineRule="auto"/>
        <w:ind w:left="851" w:hanging="284"/>
        <w:jc w:val="both"/>
        <w:rPr>
          <w:rFonts w:cstheme="minorHAnsi"/>
        </w:rPr>
      </w:pPr>
      <w:r>
        <w:rPr>
          <w:rFonts w:cstheme="minorHAnsi"/>
        </w:rPr>
        <w:t xml:space="preserve">обеспечение надлежащего контроля финансово-хозяйственной деятельности Общества. </w:t>
      </w:r>
    </w:p>
    <w:p w:rsidR="00C81778" w:rsidRDefault="00AB0D4E">
      <w:pPr>
        <w:spacing w:after="0" w:line="240" w:lineRule="auto"/>
        <w:ind w:firstLine="567"/>
        <w:jc w:val="both"/>
        <w:rPr>
          <w:rFonts w:cstheme="minorHAnsi"/>
        </w:rPr>
      </w:pPr>
      <w:r>
        <w:rPr>
          <w:rFonts w:cstheme="minorHAnsi"/>
        </w:rPr>
        <w:t xml:space="preserve">Участниками </w:t>
      </w:r>
      <w:proofErr w:type="spellStart"/>
      <w:r>
        <w:rPr>
          <w:rFonts w:cstheme="minorHAnsi"/>
        </w:rPr>
        <w:t>СУРиВК</w:t>
      </w:r>
      <w:proofErr w:type="spellEnd"/>
      <w:r>
        <w:rPr>
          <w:rFonts w:cstheme="minorHAnsi"/>
        </w:rPr>
        <w:t xml:space="preserve"> являются: на уровне ПАО «Газпром»: подразделение по управлению рисками ПАО «Газпром»; на уровне Общества: Совет директоров Общества; Комитет Совета директоров Общества по аудиту; Единоличный исполнительный орган Общества (Управляющая организация Общества); Коллегиальный орган; Центр ответственности в области управления рисками и внутреннего контроля; Структурные подразделения и работники Общества; Владельцы бизнес-процессов; Владельцы (Совладельцы) рисков; Ответственные за выполнение мероприятий по управлению рисками; Риск-координаторы; Владельцы (Совладельцы) процедур внутреннего контроля; Ответственные за мониторинг выполнения процедур внутреннего контроля. Действие Политики управления рисками и внутреннего контроля Общества распространяется на структурные подразделения Общества (включая филиалы), его дочерние общества и организации.</w:t>
      </w:r>
    </w:p>
    <w:p w:rsidR="00C81778" w:rsidRDefault="00AB0D4E">
      <w:pPr>
        <w:spacing w:after="0" w:line="240" w:lineRule="auto"/>
        <w:ind w:firstLine="567"/>
        <w:jc w:val="both"/>
        <w:rPr>
          <w:rFonts w:cstheme="minorHAnsi"/>
        </w:rPr>
      </w:pPr>
      <w:r>
        <w:rPr>
          <w:rFonts w:cstheme="minorHAnsi"/>
        </w:rPr>
        <w:t xml:space="preserve">В соответствии с организационной структурой исполнительного аппарата ПАО «ОГК-2», утвержденной решением Совета Директоров (Протокол №292 от 30.122022) с 1 января 2023 года в Обществе создан Отдел мониторинга рисков(ранее - Отдел по управлению рисками и внутреннему контролю), на который возложена обязанность по решению задач и выполнению функций в процессе управления рисками и внутреннего контроля, а также методологическое обеспечение реализации политики Общества в области управления рисками и внутреннего контроля. Деятельность подразделения по управлению рисками и внутреннему контролю структурно отделена от деятельности подразделения внутреннего аудита, экономической безопасности и контрольно-ревизионных подразделений. Структурные подразделения – владельцы рисков Общества выполняют идентификацию рисков, оценку рисков, разработку и реализацию мероприятий по управлению рисками, мониторинг рисков и мероприятий. В ПАО «ОГК-2» проводится оценка и мониторинг эффективности </w:t>
      </w:r>
      <w:proofErr w:type="spellStart"/>
      <w:r>
        <w:rPr>
          <w:rFonts w:cstheme="minorHAnsi"/>
        </w:rPr>
        <w:t>СУРиВК</w:t>
      </w:r>
      <w:proofErr w:type="spellEnd"/>
      <w:r>
        <w:rPr>
          <w:rFonts w:cstheme="minorHAnsi"/>
        </w:rPr>
        <w:t xml:space="preserve"> посредством проведения самооценок, внутренних и внешних оценок. В ПАО «ОГК-2» Владельцами рисков и Владельцами бизнес-процессов проведена самооценка </w:t>
      </w:r>
      <w:proofErr w:type="spellStart"/>
      <w:r>
        <w:rPr>
          <w:rFonts w:cstheme="minorHAnsi"/>
        </w:rPr>
        <w:t>СУРиВК</w:t>
      </w:r>
      <w:proofErr w:type="spellEnd"/>
      <w:r>
        <w:rPr>
          <w:rFonts w:cstheme="minorHAnsi"/>
        </w:rPr>
        <w:t xml:space="preserve"> за 2023 год в соответствии подходом, утвержденным Методическими рекомендациями по проведению самооценки эффективности системы управления рисками и внутреннего контроля. В соответствии с результатами самооценки </w:t>
      </w:r>
      <w:proofErr w:type="spellStart"/>
      <w:r>
        <w:rPr>
          <w:rFonts w:cstheme="minorHAnsi"/>
        </w:rPr>
        <w:t>СУРиВК</w:t>
      </w:r>
      <w:proofErr w:type="spellEnd"/>
      <w:r>
        <w:rPr>
          <w:rFonts w:cstheme="minorHAnsi"/>
        </w:rPr>
        <w:t>: - уровень развития СУР и СВК в целом обеспечивает эффективное функционирование: СУР (оценка – «отлично») обеспечивает эффективное функционирование, СВК (оценка – «хорошо») и требует дальнейшего развития. В Обществе в 2023 году также организовано проведение оценки уровня организации СВК ПАО «ОГК-2» в соответствии с Приказом ФНС России от 21.05.2021 № ЕД-7-23/518@ «Об утверждении Требований к организации системы внутреннего контроля».</w:t>
      </w:r>
    </w:p>
    <w:p w:rsidR="00C81778" w:rsidRDefault="00AB0D4E">
      <w:pPr>
        <w:spacing w:after="0" w:line="240" w:lineRule="auto"/>
        <w:ind w:firstLine="708"/>
        <w:jc w:val="both"/>
        <w:rPr>
          <w:rFonts w:cstheme="minorHAnsi"/>
        </w:rPr>
      </w:pPr>
      <w:r>
        <w:rPr>
          <w:rFonts w:cstheme="minorHAnsi"/>
        </w:rPr>
        <w:t xml:space="preserve">В 2023 году Управлением внутреннего аудита проведена оценка надежности и эффективности системы управления рисками и внутреннего контроля ПАО «ОГК-2» за 2022 год. Заключение по результатам проведенного внутреннего аудита, подтверждающее надежность и эффективность системы управления рисками и внутреннего контроля ПАО «ОГК-2», было </w:t>
      </w:r>
      <w:r>
        <w:rPr>
          <w:rFonts w:cstheme="minorHAnsi"/>
        </w:rPr>
        <w:lastRenderedPageBreak/>
        <w:t>рассмотрено Советом директоров от 26.05.2023 (выписка из протокола заседания Совета директоров от 26.05.2023 № 301).</w:t>
      </w:r>
    </w:p>
    <w:p w:rsidR="00C81778" w:rsidRDefault="00AB0D4E">
      <w:pPr>
        <w:spacing w:after="0" w:line="240" w:lineRule="auto"/>
        <w:ind w:firstLine="708"/>
        <w:jc w:val="both"/>
        <w:rPr>
          <w:rFonts w:cstheme="minorHAnsi"/>
        </w:rPr>
      </w:pPr>
      <w:r>
        <w:rPr>
          <w:rFonts w:cstheme="minorHAnsi"/>
        </w:rPr>
        <w:t>В 2023 году ПАО «ОГК-2» приняты достаточные меры, которые позволили удержать риски в допустимых пределах и обеспечить достаточные гарантии достижения целей.</w:t>
      </w:r>
    </w:p>
    <w:p w:rsidR="00C81778" w:rsidRDefault="00AB0D4E">
      <w:pPr>
        <w:spacing w:after="0" w:line="240" w:lineRule="auto"/>
        <w:ind w:firstLine="708"/>
        <w:jc w:val="both"/>
        <w:rPr>
          <w:rFonts w:cstheme="minorHAnsi"/>
        </w:rPr>
      </w:pPr>
      <w:r>
        <w:rPr>
          <w:rFonts w:cstheme="minorHAnsi"/>
        </w:rPr>
        <w:t xml:space="preserve">Подробная информация о </w:t>
      </w:r>
      <w:proofErr w:type="spellStart"/>
      <w:r>
        <w:rPr>
          <w:rFonts w:cstheme="minorHAnsi"/>
        </w:rPr>
        <w:t>СУРиВК</w:t>
      </w:r>
      <w:proofErr w:type="spellEnd"/>
      <w:r>
        <w:rPr>
          <w:rFonts w:cstheme="minorHAnsi"/>
        </w:rPr>
        <w:t xml:space="preserve">, в том числе о действующих документах в области </w:t>
      </w:r>
      <w:proofErr w:type="spellStart"/>
      <w:r>
        <w:rPr>
          <w:rFonts w:cstheme="minorHAnsi"/>
        </w:rPr>
        <w:t>СУРиВК</w:t>
      </w:r>
      <w:proofErr w:type="spellEnd"/>
      <w:r>
        <w:rPr>
          <w:rFonts w:cstheme="minorHAnsi"/>
        </w:rPr>
        <w:t xml:space="preserve"> и ключевых рисках Общества раскрывается в ежегодном отчете об Устойчивом развитии.</w:t>
      </w:r>
    </w:p>
    <w:p w:rsidR="00C81778" w:rsidRDefault="00C81778">
      <w:pPr>
        <w:spacing w:after="0" w:line="240" w:lineRule="auto"/>
        <w:ind w:firstLine="708"/>
        <w:jc w:val="both"/>
        <w:rPr>
          <w:rFonts w:cstheme="minorHAnsi"/>
        </w:rPr>
      </w:pPr>
    </w:p>
    <w:p w:rsidR="00C81778" w:rsidRDefault="00C81778">
      <w:pPr>
        <w:rPr>
          <w:rFonts w:eastAsia="Times New Roman" w:cstheme="minorHAnsi"/>
        </w:rPr>
      </w:pPr>
    </w:p>
    <w:p w:rsidR="00C81778" w:rsidRDefault="00AB0D4E">
      <w:pPr>
        <w:pStyle w:val="1"/>
        <w:keepLines/>
        <w:spacing w:after="0" w:line="276" w:lineRule="auto"/>
        <w:jc w:val="left"/>
        <w:rPr>
          <w:rFonts w:asciiTheme="minorHAnsi" w:eastAsiaTheme="majorEastAsia" w:hAnsiTheme="minorHAnsi" w:cstheme="minorHAnsi"/>
          <w:color w:val="2F5496" w:themeColor="accent1" w:themeShade="BF"/>
          <w:sz w:val="22"/>
          <w:szCs w:val="22"/>
          <w:lang w:val="ru-RU" w:eastAsia="ru-RU"/>
        </w:rPr>
      </w:pPr>
      <w:bookmarkStart w:id="23" w:name="_Toc131707823"/>
      <w:r>
        <w:rPr>
          <w:rFonts w:asciiTheme="minorHAnsi" w:eastAsiaTheme="majorEastAsia" w:hAnsiTheme="minorHAnsi" w:cstheme="minorHAnsi"/>
          <w:color w:val="2F5496" w:themeColor="accent1" w:themeShade="BF"/>
          <w:sz w:val="22"/>
          <w:szCs w:val="22"/>
          <w:lang w:val="ru-RU" w:eastAsia="ru-RU"/>
        </w:rPr>
        <w:t>4. Корпоративное управление</w:t>
      </w:r>
      <w:bookmarkEnd w:id="23"/>
    </w:p>
    <w:p w:rsidR="00C81778" w:rsidRDefault="00C81778">
      <w:pPr>
        <w:rPr>
          <w:rFonts w:cstheme="minorHAnsi"/>
        </w:rPr>
      </w:pPr>
    </w:p>
    <w:p w:rsidR="00C81778" w:rsidRDefault="00AB0D4E">
      <w:pPr>
        <w:pStyle w:val="21"/>
        <w:keepLines/>
        <w:spacing w:after="0" w:line="276" w:lineRule="auto"/>
        <w:rPr>
          <w:rFonts w:asciiTheme="minorHAnsi" w:eastAsiaTheme="majorEastAsia" w:hAnsiTheme="minorHAnsi" w:cstheme="minorHAnsi"/>
          <w:color w:val="2F5496" w:themeColor="accent1" w:themeShade="BF"/>
          <w:sz w:val="22"/>
          <w:szCs w:val="22"/>
        </w:rPr>
      </w:pPr>
      <w:bookmarkStart w:id="24" w:name="_Toc131707824"/>
      <w:r>
        <w:rPr>
          <w:rFonts w:asciiTheme="minorHAnsi" w:eastAsiaTheme="majorEastAsia" w:hAnsiTheme="minorHAnsi" w:cstheme="minorHAnsi"/>
          <w:color w:val="2F5496" w:themeColor="accent1" w:themeShade="BF"/>
          <w:sz w:val="22"/>
          <w:szCs w:val="22"/>
        </w:rPr>
        <w:t>4.1. Основные принципы и структура корпоративного управления</w:t>
      </w:r>
      <w:bookmarkEnd w:id="24"/>
    </w:p>
    <w:p w:rsidR="00C81778" w:rsidRDefault="00AB0D4E">
      <w:pPr>
        <w:pStyle w:val="31"/>
        <w:keepLines/>
        <w:spacing w:before="120" w:after="0"/>
        <w:jc w:val="both"/>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Наиболее существенные аспекты модели и практики корпоративного управления в Компании</w:t>
      </w:r>
    </w:p>
    <w:p w:rsidR="00C81778" w:rsidRDefault="00AB0D4E">
      <w:pPr>
        <w:spacing w:before="120" w:after="0" w:line="240" w:lineRule="auto"/>
        <w:jc w:val="both"/>
        <w:rPr>
          <w:rFonts w:eastAsia="Calibri" w:cstheme="minorHAnsi"/>
          <w:lang w:eastAsia="ru-RU"/>
        </w:rPr>
      </w:pPr>
      <w:r>
        <w:rPr>
          <w:rFonts w:eastAsia="Calibri" w:cstheme="minorHAnsi"/>
          <w:lang w:eastAsia="ru-RU"/>
        </w:rPr>
        <w:t>Система корпоративного управления ПАО «ОГК-2» направлена на повышение эффективности деятельности Общества, укрепление его репутации и рост капитализации. Корпоративное управление является важным фактором построения доверительных отношений со всеми заинтересованными сторонами, которые в равной степени находятся под влиянием Общества и сами влияют на него.</w:t>
      </w:r>
    </w:p>
    <w:p w:rsidR="00C81778" w:rsidRDefault="00AB0D4E">
      <w:pPr>
        <w:spacing w:before="120" w:after="0" w:line="240" w:lineRule="auto"/>
        <w:jc w:val="both"/>
        <w:rPr>
          <w:rFonts w:eastAsia="Calibri" w:cstheme="minorHAnsi"/>
          <w:lang w:eastAsia="ru-RU"/>
        </w:rPr>
      </w:pPr>
      <w:r>
        <w:rPr>
          <w:rFonts w:eastAsia="Calibri" w:cstheme="minorHAnsi"/>
          <w:lang w:eastAsia="ru-RU"/>
        </w:rPr>
        <w:t>В области корпоративного управления ПАО «ОГК-2» руководствуется требованиями законодательства Российской Федерации, Правилами листинга ПАО Московская Биржа (далее также - Правила листинга), рекомендациями Кодекса корпоративного управления Банка России (далее также - Кодекс корпоративного управления, Кодекс), внутренними документами Общества, определяющими стандарты корпоративного управления Общества, ориентированными на применение лучших практик в сфере корпоративного управления и раскрытия информации.</w:t>
      </w:r>
    </w:p>
    <w:p w:rsidR="00C81778" w:rsidRDefault="00AB0D4E">
      <w:pPr>
        <w:spacing w:before="120" w:after="0" w:line="240" w:lineRule="auto"/>
        <w:jc w:val="both"/>
        <w:rPr>
          <w:rFonts w:eastAsia="Calibri" w:cstheme="minorHAnsi"/>
          <w:lang w:eastAsia="ru-RU"/>
        </w:rPr>
      </w:pPr>
      <w:r>
        <w:rPr>
          <w:rFonts w:eastAsia="Calibri" w:cstheme="minorHAnsi"/>
          <w:lang w:eastAsia="ru-RU"/>
        </w:rPr>
        <w:t>Фундаментальные требования в отношении этичного корпоративного поведения изложены в Кодексе корпоративной этики ПАО «ОГК-2». Во взаимодействии с внешними заинтересованными сторонами ПАО «ОГК-2» руководствуется принципами вежливости, корректности и точности.</w:t>
      </w:r>
    </w:p>
    <w:p w:rsidR="00C81778" w:rsidRDefault="00AB0D4E">
      <w:pPr>
        <w:spacing w:before="120" w:after="0" w:line="240" w:lineRule="auto"/>
        <w:jc w:val="both"/>
        <w:rPr>
          <w:rFonts w:eastAsia="Calibri" w:cstheme="minorHAnsi"/>
          <w:lang w:eastAsia="ru-RU"/>
        </w:rPr>
      </w:pPr>
      <w:r>
        <w:rPr>
          <w:rFonts w:eastAsia="Calibri" w:cstheme="minorHAnsi"/>
          <w:lang w:eastAsia="ru-RU"/>
        </w:rPr>
        <w:t>Система корпоративного управления ПАО «ОГК-2» полностью соответствует требованиям законодательства Российской Федерации и Правилам листинга. Руководство полагает, что обеспечивает необходимую степень уверенности акционеров и инвесторов в последовательности реализуемой стратегии и принимаемых решений.</w:t>
      </w:r>
    </w:p>
    <w:p w:rsidR="00C81778" w:rsidRDefault="00AB0D4E">
      <w:pPr>
        <w:spacing w:before="120" w:after="0" w:line="240" w:lineRule="auto"/>
        <w:ind w:firstLine="567"/>
        <w:jc w:val="both"/>
        <w:rPr>
          <w:rFonts w:eastAsia="Calibri" w:cstheme="minorHAnsi"/>
          <w:lang w:eastAsia="ru-RU"/>
        </w:rPr>
      </w:pPr>
      <w:r>
        <w:rPr>
          <w:noProof/>
          <w:lang w:eastAsia="ru-RU"/>
        </w:rPr>
        <w:lastRenderedPageBreak/>
        <w:drawing>
          <wp:inline distT="0" distB="0" distL="0" distR="0">
            <wp:extent cx="4401820" cy="4645660"/>
            <wp:effectExtent l="0" t="0" r="0" b="0"/>
            <wp:docPr id="9" name="Рисунок 8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1" descr="Изображение выглядит как текст&#10;&#10;Автоматически созданное описание"/>
                    <pic:cNvPicPr>
                      <a:picLocks noChangeAspect="1"/>
                    </pic:cNvPicPr>
                  </pic:nvPicPr>
                  <pic:blipFill>
                    <a:blip r:embed="rId23"/>
                    <a:stretch/>
                  </pic:blipFill>
                  <pic:spPr bwMode="auto">
                    <a:xfrm>
                      <a:off x="0" y="0"/>
                      <a:ext cx="4401820" cy="4645660"/>
                    </a:xfrm>
                    <a:prstGeom prst="rect">
                      <a:avLst/>
                    </a:prstGeom>
                  </pic:spPr>
                </pic:pic>
              </a:graphicData>
            </a:graphic>
          </wp:inline>
        </w:drawing>
      </w:r>
    </w:p>
    <w:p w:rsidR="00C81778" w:rsidRDefault="00AB0D4E">
      <w:pPr>
        <w:spacing w:before="120" w:after="0" w:line="240" w:lineRule="auto"/>
        <w:jc w:val="both"/>
        <w:rPr>
          <w:rFonts w:eastAsia="Calibri" w:cstheme="minorHAnsi"/>
          <w:lang w:eastAsia="ru-RU"/>
        </w:rPr>
      </w:pPr>
      <w:r>
        <w:rPr>
          <w:rFonts w:eastAsia="Calibri" w:cstheme="minorHAnsi"/>
          <w:lang w:eastAsia="ru-RU"/>
        </w:rPr>
        <w:t>Основные документы Общества, регламентирующие вопросы корпоративного управления:</w:t>
      </w:r>
    </w:p>
    <w:tbl>
      <w:tblPr>
        <w:tblW w:w="9345" w:type="dxa"/>
        <w:tblLayout w:type="fixed"/>
        <w:tblLook w:val="04A0" w:firstRow="1" w:lastRow="0" w:firstColumn="1" w:lastColumn="0" w:noHBand="0" w:noVBand="1"/>
      </w:tblPr>
      <w:tblGrid>
        <w:gridCol w:w="4672"/>
        <w:gridCol w:w="4673"/>
      </w:tblGrid>
      <w:tr w:rsidR="00C81778">
        <w:tc>
          <w:tcPr>
            <w:tcW w:w="4672" w:type="dxa"/>
            <w:shd w:val="clear" w:color="auto" w:fill="F2F2F2" w:themeFill="background1" w:themeFillShade="F2"/>
          </w:tcPr>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Устав 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 xml:space="preserve">Кодекс корпоративного управления </w:t>
            </w:r>
            <w:r>
              <w:rPr>
                <w:rFonts w:eastAsia="Times New Roman" w:cstheme="minorHAnsi"/>
                <w:lang w:eastAsia="ru-RU"/>
              </w:rPr>
              <w:br w:type="textWrapping" w:clear="all"/>
              <w:t>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Кодекс корпоративной этики 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об информационной политике 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порядке доступа к инсайдерской информации 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контроле за соблюдением требований законодательства в сфере противодействия неправомерному использованию инсайдерской информации и манипулированию рынком;</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 xml:space="preserve">Перечень инсайдерской информации </w:t>
            </w:r>
            <w:r>
              <w:rPr>
                <w:rFonts w:eastAsia="Times New Roman" w:cstheme="minorHAnsi"/>
                <w:lang w:eastAsia="ru-RU"/>
              </w:rPr>
              <w:br/>
              <w:t>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об Общем собрании акционеров 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Совете директоров ПАО «ОГК-2»;</w:t>
            </w:r>
          </w:p>
        </w:tc>
        <w:tc>
          <w:tcPr>
            <w:tcW w:w="4672" w:type="dxa"/>
            <w:shd w:val="clear" w:color="auto" w:fill="F2F2F2" w:themeFill="background1" w:themeFillShade="F2"/>
          </w:tcPr>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Генеральном директоре 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порядке определения размера вознаграждений и компенсаций членам Совета директоров ПАО «ОГК-2»;</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Комитете Совета директоров ПАО «ОГК-2» по стратегии, инвестициям и устойчивому развитию;</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Комитете Совета директоров ПАО «ОГК-2» по аудиту;</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Комитете Совета директоров ПАО «ОГК-2» по надежности;</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Комитете Совета директоров ПАО «ОГК-2» по кадрам и вознаграждениям;</w:t>
            </w:r>
          </w:p>
          <w:p w:rsidR="00C81778" w:rsidRDefault="00AB0D4E">
            <w:pPr>
              <w:numPr>
                <w:ilvl w:val="0"/>
                <w:numId w:val="11"/>
              </w:numPr>
              <w:spacing w:after="0" w:line="240" w:lineRule="auto"/>
              <w:ind w:left="307" w:hanging="284"/>
              <w:jc w:val="both"/>
              <w:rPr>
                <w:rFonts w:eastAsia="Times New Roman" w:cstheme="minorHAnsi"/>
                <w:lang w:eastAsia="ru-RU"/>
              </w:rPr>
            </w:pPr>
            <w:r>
              <w:rPr>
                <w:rFonts w:eastAsia="Times New Roman" w:cstheme="minorHAnsi"/>
                <w:lang w:eastAsia="ru-RU"/>
              </w:rPr>
              <w:t>Положение о Корпоративном секретаре ПАО «ОГК-2»;</w:t>
            </w:r>
          </w:p>
          <w:p w:rsidR="00C81778" w:rsidRDefault="00AB0D4E">
            <w:pPr>
              <w:numPr>
                <w:ilvl w:val="0"/>
                <w:numId w:val="11"/>
              </w:numPr>
              <w:spacing w:after="0" w:line="240" w:lineRule="auto"/>
              <w:ind w:left="307" w:hanging="284"/>
              <w:jc w:val="both"/>
              <w:rPr>
                <w:rFonts w:eastAsia="Calibri" w:cstheme="minorHAnsi"/>
                <w:u w:val="single"/>
                <w:lang w:eastAsia="ru-RU"/>
              </w:rPr>
            </w:pPr>
            <w:r>
              <w:rPr>
                <w:rFonts w:eastAsia="Times New Roman" w:cstheme="minorHAnsi"/>
                <w:lang w:eastAsia="ru-RU"/>
              </w:rPr>
              <w:t>Политика управления рисками и внутреннего контроля ПАО «ОГК-2»;</w:t>
            </w:r>
          </w:p>
          <w:p w:rsidR="00C81778" w:rsidRDefault="00AB0D4E">
            <w:pPr>
              <w:numPr>
                <w:ilvl w:val="0"/>
                <w:numId w:val="11"/>
              </w:numPr>
              <w:spacing w:after="0" w:line="240" w:lineRule="auto"/>
              <w:ind w:left="307" w:hanging="284"/>
              <w:jc w:val="both"/>
              <w:rPr>
                <w:rFonts w:eastAsia="Calibri" w:cstheme="minorHAnsi"/>
                <w:u w:val="single"/>
                <w:lang w:eastAsia="ru-RU"/>
              </w:rPr>
            </w:pPr>
            <w:r>
              <w:rPr>
                <w:rFonts w:eastAsia="Times New Roman" w:cstheme="minorHAnsi"/>
                <w:lang w:eastAsia="ru-RU"/>
              </w:rPr>
              <w:t>Политика внутреннего аудита ПАО «ОГК-2».</w:t>
            </w:r>
          </w:p>
        </w:tc>
      </w:tr>
    </w:tbl>
    <w:p w:rsidR="00C81778" w:rsidRDefault="00AB0D4E">
      <w:pPr>
        <w:spacing w:before="120" w:after="0" w:line="240" w:lineRule="auto"/>
        <w:jc w:val="both"/>
        <w:rPr>
          <w:rFonts w:eastAsia="Calibri" w:cstheme="minorHAnsi"/>
          <w:lang w:eastAsia="ru-RU"/>
        </w:rPr>
      </w:pPr>
      <w:r>
        <w:rPr>
          <w:rFonts w:eastAsia="Calibri" w:cstheme="minorHAnsi"/>
        </w:rPr>
        <w:t>С текстами документов можно ознакомиться, пройдя по ссылке:</w:t>
      </w:r>
      <w:r>
        <w:rPr>
          <w:rFonts w:eastAsia="Calibri" w:cstheme="minorHAnsi"/>
          <w:color w:val="0000FF"/>
          <w:u w:val="single"/>
        </w:rPr>
        <w:t xml:space="preserve"> https://ogk2.ru/o-kompanii/uchreditelnye-i-vnutrennie-dokumenty/.</w:t>
      </w:r>
    </w:p>
    <w:p w:rsidR="00C81778" w:rsidRDefault="00C81778">
      <w:pPr>
        <w:spacing w:before="120" w:after="0" w:line="240" w:lineRule="auto"/>
        <w:jc w:val="both"/>
        <w:rPr>
          <w:rFonts w:eastAsia="Calibri" w:cstheme="minorHAnsi"/>
          <w:lang w:eastAsia="ru-RU"/>
        </w:rPr>
      </w:pP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lastRenderedPageBreak/>
        <w:t>Структура корпоративного управления ПАО «ОГК-2»</w:t>
      </w:r>
    </w:p>
    <w:p w:rsidR="00C81778" w:rsidRDefault="00AB0D4E">
      <w:pPr>
        <w:spacing w:before="120" w:after="0" w:line="240" w:lineRule="auto"/>
        <w:jc w:val="both"/>
        <w:rPr>
          <w:rFonts w:eastAsia="Calibri" w:cstheme="minorHAnsi"/>
          <w:bCs/>
          <w:iCs/>
          <w:lang w:eastAsia="ru-RU"/>
        </w:rPr>
      </w:pPr>
      <w:r>
        <w:rPr>
          <w:noProof/>
          <w:lang w:eastAsia="ru-RU"/>
        </w:rPr>
        <w:drawing>
          <wp:inline distT="0" distB="0" distL="0" distR="0">
            <wp:extent cx="5930265" cy="3190875"/>
            <wp:effectExtent l="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
                    <pic:cNvPicPr>
                      <a:picLocks noChangeAspect="1"/>
                    </pic:cNvPicPr>
                  </pic:nvPicPr>
                  <pic:blipFill>
                    <a:blip r:embed="rId24"/>
                    <a:stretch/>
                  </pic:blipFill>
                  <pic:spPr bwMode="auto">
                    <a:xfrm>
                      <a:off x="0" y="0"/>
                      <a:ext cx="5930265" cy="3190875"/>
                    </a:xfrm>
                    <a:prstGeom prst="rect">
                      <a:avLst/>
                    </a:prstGeom>
                  </pic:spPr>
                </pic:pic>
              </a:graphicData>
            </a:graphic>
          </wp:inline>
        </w:drawing>
      </w:r>
    </w:p>
    <w:p w:rsidR="00C81778" w:rsidRDefault="00C81778">
      <w:pPr>
        <w:pStyle w:val="31"/>
        <w:keepLines/>
        <w:spacing w:before="40" w:after="0" w:line="276" w:lineRule="auto"/>
        <w:rPr>
          <w:rFonts w:asciiTheme="minorHAnsi" w:eastAsiaTheme="majorEastAsia" w:hAnsiTheme="minorHAnsi" w:cstheme="minorHAnsi"/>
          <w:color w:val="1F3763" w:themeColor="accent1" w:themeShade="7F"/>
          <w:sz w:val="22"/>
          <w:szCs w:val="22"/>
        </w:rPr>
      </w:pPr>
    </w:p>
    <w:p w:rsidR="00C81778" w:rsidRDefault="00C81778">
      <w:pPr>
        <w:pStyle w:val="31"/>
        <w:keepLines/>
        <w:spacing w:before="40" w:after="0" w:line="276" w:lineRule="auto"/>
        <w:rPr>
          <w:rFonts w:asciiTheme="minorHAnsi" w:eastAsiaTheme="majorEastAsia" w:hAnsiTheme="minorHAnsi" w:cstheme="minorHAnsi"/>
          <w:color w:val="1F3763" w:themeColor="accent1" w:themeShade="7F"/>
          <w:sz w:val="22"/>
          <w:szCs w:val="22"/>
        </w:rPr>
      </w:pP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 xml:space="preserve">Общее собрание акционеров </w:t>
      </w:r>
    </w:p>
    <w:p w:rsidR="00C81778" w:rsidRDefault="00AB0D4E">
      <w:pPr>
        <w:spacing w:before="120" w:after="0" w:line="240" w:lineRule="auto"/>
        <w:jc w:val="both"/>
        <w:rPr>
          <w:rFonts w:eastAsia="Calibri" w:cstheme="minorHAnsi"/>
          <w:lang w:eastAsia="ru-RU"/>
        </w:rPr>
      </w:pPr>
      <w:r>
        <w:rPr>
          <w:rFonts w:eastAsia="Calibri" w:cstheme="minorHAnsi"/>
          <w:bCs/>
          <w:iCs/>
          <w:lang w:eastAsia="ru-RU"/>
        </w:rPr>
        <w:t>Общее собрание акционеров</w:t>
      </w:r>
      <w:r>
        <w:rPr>
          <w:rFonts w:eastAsia="Calibri" w:cstheme="minorHAnsi"/>
          <w:lang w:eastAsia="ru-RU"/>
        </w:rPr>
        <w:t xml:space="preserve"> – высший орган управления Обществом. Предоставляет акционерам возможность получить информацию о деятельности Общества, его достижениях и планах, реализовать принадлежащее им право на участие в управлении Обществом. Общим собранием акционеров, в соответствии с его компетенцией, принимаются решения по наиболее важным вопросам деятельности Общества. Общему собранию акционеров подотчетны Совет директоров и единоличный исполнительный орган Общества.</w:t>
      </w:r>
    </w:p>
    <w:p w:rsidR="00C81778" w:rsidRDefault="00C81778">
      <w:pPr>
        <w:spacing w:after="0" w:line="240" w:lineRule="auto"/>
        <w:rPr>
          <w:rFonts w:cstheme="minorHAnsi"/>
        </w:rPr>
      </w:pP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 xml:space="preserve">Совет директоров </w:t>
      </w:r>
    </w:p>
    <w:p w:rsidR="00C81778" w:rsidRDefault="00AB0D4E">
      <w:pPr>
        <w:spacing w:before="120" w:after="0" w:line="240" w:lineRule="auto"/>
        <w:jc w:val="both"/>
        <w:rPr>
          <w:rFonts w:eastAsia="Calibri" w:cstheme="minorHAnsi"/>
          <w:lang w:eastAsia="ru-RU"/>
        </w:rPr>
      </w:pPr>
      <w:r>
        <w:rPr>
          <w:rFonts w:eastAsia="Calibri" w:cstheme="minorHAnsi"/>
          <w:bCs/>
          <w:iCs/>
          <w:lang w:eastAsia="ru-RU"/>
        </w:rPr>
        <w:t>Совет директоров</w:t>
      </w:r>
      <w:r>
        <w:rPr>
          <w:rFonts w:eastAsia="Calibri" w:cstheme="minorHAnsi"/>
          <w:lang w:eastAsia="ru-RU"/>
        </w:rPr>
        <w:t xml:space="preserve"> осуществляет общее руководство деятельностью Общества, принимает решения по существенным вопросам, контролирует исполнение решений Общего собрания акционеров и обеспечение прав и законных интересов Общества в соответствии с требованиями законодательства. Компетенция и порядок деятельности Совета директоров регулируется внутренними документами – Уставом и Положением о Совете директоров. Совет директоров является коллегиальным органом, члены которого избираются Общим собранием акционеров на срок до следующего годового Общего собрания акционеров. По решению Общего собрания акционеров полномочия всех членов Совета директоров могут быть прекращены досрочно. Лица, избранные в состав Совета директоров, могут переизбираться неограниченное число раз. Кандидатуры для избрания в Совет директоров могут выдвигаться акционерами, владеющими не менее 2% голосующих акций Общества, а также Советом директоров, если количество кандидатур, выдвинутых акционерами, недостаточно.</w:t>
      </w:r>
    </w:p>
    <w:p w:rsidR="00C81778" w:rsidRDefault="00AB0D4E">
      <w:pPr>
        <w:spacing w:before="120" w:after="0" w:line="240" w:lineRule="auto"/>
        <w:jc w:val="both"/>
        <w:rPr>
          <w:rFonts w:eastAsia="Calibri" w:cstheme="minorHAnsi"/>
          <w:lang w:eastAsia="ru-RU"/>
        </w:rPr>
      </w:pPr>
      <w:r>
        <w:rPr>
          <w:rFonts w:eastAsia="Calibri" w:cstheme="minorHAnsi"/>
          <w:lang w:eastAsia="ru-RU"/>
        </w:rPr>
        <w:t>В отчетном периоде посещаемость заседаний Совета директоров ПАО «ОГК-2» членами Совета директоров Общества составила 98,19%.</w:t>
      </w:r>
    </w:p>
    <w:p w:rsidR="00C81778" w:rsidRDefault="00C81778">
      <w:pPr>
        <w:spacing w:before="120" w:after="0" w:line="240" w:lineRule="auto"/>
        <w:jc w:val="both"/>
        <w:rPr>
          <w:rFonts w:eastAsia="Calibri" w:cstheme="minorHAnsi"/>
          <w:lang w:eastAsia="ru-RU"/>
        </w:rPr>
      </w:pPr>
    </w:p>
    <w:p w:rsidR="00C81778" w:rsidRDefault="00AB0D4E">
      <w:pPr>
        <w:spacing w:before="120" w:after="0" w:line="240" w:lineRule="auto"/>
        <w:jc w:val="both"/>
        <w:rPr>
          <w:rFonts w:eastAsia="Calibri" w:cstheme="minorHAnsi"/>
          <w:lang w:eastAsia="ru-RU"/>
        </w:rPr>
      </w:pPr>
      <w:r>
        <w:rPr>
          <w:rFonts w:eastAsia="Calibri" w:cstheme="minorHAnsi"/>
          <w:lang w:eastAsia="ru-RU"/>
        </w:rPr>
        <w:t xml:space="preserve">Независимые члены Совета директоров Общества </w:t>
      </w:r>
    </w:p>
    <w:p w:rsidR="00C81778" w:rsidRDefault="00AB0D4E">
      <w:pPr>
        <w:spacing w:before="120" w:after="0" w:line="240" w:lineRule="auto"/>
        <w:jc w:val="both"/>
        <w:rPr>
          <w:rFonts w:eastAsia="Calibri" w:cstheme="minorHAnsi"/>
          <w:lang w:eastAsia="ru-RU"/>
        </w:rPr>
      </w:pPr>
      <w:r>
        <w:rPr>
          <w:rFonts w:eastAsia="Calibri" w:cstheme="minorHAnsi"/>
          <w:lang w:eastAsia="ru-RU"/>
        </w:rPr>
        <w:t xml:space="preserve">В течение 2023 года полностью отвечал критериям независимости, установленным Правилами листинга ПАО Московская Биржа, один член Совета директоров ПАО «ОГК-2».  </w:t>
      </w:r>
    </w:p>
    <w:p w:rsidR="00C81778" w:rsidRDefault="00C81778">
      <w:pPr>
        <w:ind w:firstLine="709"/>
        <w:jc w:val="both"/>
        <w:rPr>
          <w:rFonts w:eastAsia="Calibri" w:cstheme="minorHAnsi"/>
          <w:b/>
          <w:lang w:eastAsia="ru-RU"/>
        </w:rPr>
      </w:pPr>
    </w:p>
    <w:p w:rsidR="00C81778" w:rsidRDefault="00AB0D4E">
      <w:pPr>
        <w:ind w:firstLine="709"/>
        <w:jc w:val="both"/>
        <w:rPr>
          <w:rFonts w:eastAsia="Calibri" w:cstheme="minorHAnsi"/>
          <w:b/>
          <w:lang w:eastAsia="ru-RU"/>
        </w:rPr>
      </w:pPr>
      <w:r>
        <w:rPr>
          <w:rFonts w:eastAsia="Calibri" w:cstheme="minorHAnsi"/>
          <w:b/>
          <w:lang w:eastAsia="ru-RU"/>
        </w:rPr>
        <w:lastRenderedPageBreak/>
        <w:t>Комитет Совета директоров ПАО «ОГК-2» по аудиту</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 xml:space="preserve">Комитет действует в соответствии с Положением о Комитете Совета директоров ПАО «ОГК-2» по аудиту, утвержденным решением Совета директоров ПАО «ОГК-2» от 08.09.2022 (протокол от 08.09.2022 № 284). </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 xml:space="preserve">Целью деятельности Комитета является обеспечение эффективной работы Совета директоров в решении вопросов, отнесенных к его компетенции. </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Задачей Комитета является, в том числе, выработка и представление рекомендаций (заключений) Совету директоров в области аудита, внутреннего контроля и управления рисками ПАО «ОГК-2».</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Один член Комитета в 2023 году являлся независимым директором Общества. Также он избран Председателем Комитета.</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 xml:space="preserve">В 2023 году Комитет Совета директоров ПАО «ОГК-2» по аудиту провел 9 заседаний, на которых было рассмотрено 16 вопросов. </w:t>
      </w:r>
    </w:p>
    <w:p w:rsidR="00C81778" w:rsidRDefault="00C81778">
      <w:pPr>
        <w:spacing w:before="120" w:after="0" w:line="240" w:lineRule="auto"/>
        <w:jc w:val="both"/>
        <w:rPr>
          <w:rFonts w:eastAsia="Calibri" w:cstheme="minorHAnsi"/>
          <w:lang w:eastAsia="ru-RU"/>
        </w:rPr>
      </w:pPr>
    </w:p>
    <w:p w:rsidR="00C81778" w:rsidRDefault="00AB0D4E">
      <w:pPr>
        <w:ind w:firstLine="708"/>
        <w:jc w:val="both"/>
        <w:rPr>
          <w:rFonts w:eastAsia="Calibri" w:cstheme="minorHAnsi"/>
          <w:b/>
          <w:lang w:eastAsia="ru-RU"/>
        </w:rPr>
      </w:pPr>
      <w:r>
        <w:rPr>
          <w:rFonts w:eastAsia="Calibri" w:cstheme="minorHAnsi"/>
          <w:b/>
          <w:lang w:eastAsia="ru-RU"/>
        </w:rPr>
        <w:t>Комитет Совета директоров ПАО «ОГК-2» по кадрам и вознаграждениям</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 xml:space="preserve">Комитет действует в соответствии с Положением о Комитете Совета директоров ПАО «ОГК-2» по кадрам и вознаграждениям, утвержденным решением Совета директоров ПАО «ОГК-2» от 08.09.2022 (протокол от 08.09.2022 № 284). </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 xml:space="preserve">Целью деятельности Комитета является обеспечение эффективной работы Совета директоров в решении вопросов, отнесенных к его компетенции. </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Задачей Комитета является, в том числе, выработка и представление рекомендаций (заключений) Совету директоров в области кадровой и социально-трудовой политики ПАО «ОГК-2».</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В действующий состав Комитета входит независимый директор.</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Всего за 2023 год было проведено 3 заседания Комитета, на которых было рассмотрено 8 вопросов.</w:t>
      </w:r>
    </w:p>
    <w:p w:rsidR="00C81778" w:rsidRDefault="00C81778">
      <w:pPr>
        <w:ind w:firstLine="708"/>
        <w:jc w:val="both"/>
        <w:rPr>
          <w:rFonts w:eastAsia="Calibri" w:cstheme="minorHAnsi"/>
          <w:lang w:eastAsia="ru-RU"/>
        </w:rPr>
      </w:pPr>
    </w:p>
    <w:p w:rsidR="00C81778" w:rsidRDefault="00AB0D4E">
      <w:pPr>
        <w:ind w:firstLine="709"/>
        <w:jc w:val="both"/>
        <w:rPr>
          <w:rFonts w:eastAsia="Calibri" w:cstheme="minorHAnsi"/>
          <w:b/>
          <w:lang w:eastAsia="ru-RU"/>
        </w:rPr>
      </w:pPr>
      <w:r>
        <w:rPr>
          <w:rFonts w:eastAsia="Calibri" w:cstheme="minorHAnsi"/>
          <w:b/>
          <w:lang w:eastAsia="ru-RU"/>
        </w:rPr>
        <w:t xml:space="preserve">Комитет Совета директоров ПАО «ОГК-2» по стратегии и инвестициям </w:t>
      </w:r>
      <w:r>
        <w:rPr>
          <w:rFonts w:eastAsia="Calibri" w:cstheme="minorHAnsi"/>
          <w:lang w:eastAsia="ru-RU"/>
        </w:rPr>
        <w:t>(в 2023 году функционировал с 01.01.2023 до 13.09.2023)</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Задачей Комитета являлась выработка и представление рекомендаций (заключений) Совету директоров и исполнительным органам Общества по вопросам, связанным с определением приоритетных направлений деятельности, стратегических целей и основных принципов стратегического развития Общества и бизнес-планированием.</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Комитет был упразднен решением Совета директоров 14.09.2023, и во исполнение Плана мероприятий в области устойчивого развития ПАО «ОГК-2» сформирован Комитет Совета директоров по стратегии, инвестициям и устойчивому развитию.</w:t>
      </w:r>
    </w:p>
    <w:p w:rsidR="00C81778" w:rsidRDefault="00C81778">
      <w:pPr>
        <w:spacing w:after="0" w:line="240" w:lineRule="auto"/>
        <w:ind w:firstLine="708"/>
        <w:jc w:val="both"/>
        <w:rPr>
          <w:rFonts w:eastAsia="Calibri" w:cstheme="minorHAnsi"/>
          <w:lang w:eastAsia="ru-RU"/>
        </w:rPr>
      </w:pPr>
    </w:p>
    <w:p w:rsidR="00C81778" w:rsidRDefault="00AB0D4E">
      <w:pPr>
        <w:ind w:firstLine="709"/>
        <w:jc w:val="both"/>
        <w:rPr>
          <w:rFonts w:eastAsia="Calibri" w:cstheme="minorHAnsi"/>
          <w:b/>
          <w:lang w:eastAsia="ru-RU"/>
        </w:rPr>
      </w:pPr>
      <w:r>
        <w:rPr>
          <w:rFonts w:eastAsia="Calibri" w:cstheme="minorHAnsi"/>
          <w:b/>
          <w:lang w:eastAsia="ru-RU"/>
        </w:rPr>
        <w:t xml:space="preserve">Комитет Совета директоров ПАО «ОГК-2» по стратегии, инвестициям и устойчивому развитию </w:t>
      </w:r>
      <w:r>
        <w:rPr>
          <w:rFonts w:eastAsia="Calibri" w:cstheme="minorHAnsi"/>
          <w:lang w:eastAsia="ru-RU"/>
        </w:rPr>
        <w:t>(функционирует с 14.09.2023)</w:t>
      </w: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 xml:space="preserve">Комитет действует в соответствии с Положением о Комитете Совета директоров ПАО «ОГК-2» по стратегии, инвестициям и устойчивому развитию, утвержденным решением Совета директоров ПАО «ОГК-2» от 14.09.2023(протокол от 14.09.2023 № 307). </w:t>
      </w:r>
    </w:p>
    <w:p w:rsidR="00C81778" w:rsidRDefault="00AB0D4E">
      <w:pPr>
        <w:pStyle w:val="Default"/>
        <w:ind w:firstLine="709"/>
        <w:jc w:val="both"/>
        <w:rPr>
          <w:rFonts w:asciiTheme="minorHAnsi" w:eastAsia="Calibri" w:hAnsiTheme="minorHAnsi" w:cstheme="minorHAnsi"/>
          <w:color w:val="auto"/>
          <w:sz w:val="22"/>
          <w:szCs w:val="22"/>
          <w:lang w:val="ru-RU" w:eastAsia="ru-RU"/>
        </w:rPr>
      </w:pPr>
      <w:r>
        <w:rPr>
          <w:rFonts w:asciiTheme="minorHAnsi" w:eastAsia="Calibri" w:hAnsiTheme="minorHAnsi" w:cstheme="minorHAnsi"/>
          <w:color w:val="auto"/>
          <w:sz w:val="22"/>
          <w:szCs w:val="22"/>
          <w:lang w:val="ru-RU" w:eastAsia="ru-RU"/>
        </w:rPr>
        <w:t xml:space="preserve">Задачами Комитета являются, в том числе, оказание содействия Совету директоров в реализации его полномочий, направленных на повышение эффективности деятельности ПАО «ОГК-2» в долгосрочной перспективе, содействие интеграции принципов устойчивого развития в деятельность ПАО «ОГК-2» в целях повышения эффективности деятельности ПАО «ОГК-2», капитализации и инвестиционной привлекательности ПАО «ОГК-2», определение и совершенствование политики в области бизнес-планирования и бюджетирования ПАО «ОГК-2», выработка и представление рекомендаций (заключений) по вопросам компетенции Совета </w:t>
      </w:r>
      <w:r>
        <w:rPr>
          <w:rFonts w:asciiTheme="minorHAnsi" w:eastAsia="Calibri" w:hAnsiTheme="minorHAnsi" w:cstheme="minorHAnsi"/>
          <w:color w:val="auto"/>
          <w:sz w:val="22"/>
          <w:szCs w:val="22"/>
          <w:lang w:val="ru-RU" w:eastAsia="ru-RU"/>
        </w:rPr>
        <w:lastRenderedPageBreak/>
        <w:t>директоров, включенным в повестку дня заседания Совета директоров, отнесенным к компетенции Комитета.</w:t>
      </w:r>
    </w:p>
    <w:p w:rsidR="00C81778" w:rsidRDefault="00AB0D4E">
      <w:pPr>
        <w:spacing w:after="0"/>
        <w:ind w:firstLine="567"/>
        <w:jc w:val="both"/>
        <w:rPr>
          <w:rFonts w:eastAsia="Calibri" w:cstheme="minorHAnsi"/>
          <w:lang w:eastAsia="ru-RU"/>
        </w:rPr>
      </w:pPr>
      <w:r>
        <w:rPr>
          <w:rFonts w:eastAsia="Calibri" w:cstheme="minorHAnsi"/>
          <w:lang w:eastAsia="ru-RU"/>
        </w:rPr>
        <w:t>В действующий состав Комитета не входят независимые директора.</w:t>
      </w:r>
    </w:p>
    <w:p w:rsidR="00C81778" w:rsidRDefault="00AB0D4E">
      <w:pPr>
        <w:pStyle w:val="Default"/>
        <w:ind w:firstLine="567"/>
        <w:jc w:val="both"/>
        <w:rPr>
          <w:rFonts w:asciiTheme="minorHAnsi" w:eastAsia="Calibri" w:hAnsiTheme="minorHAnsi" w:cstheme="minorHAnsi"/>
          <w:color w:val="auto"/>
          <w:sz w:val="22"/>
          <w:szCs w:val="22"/>
          <w:lang w:val="ru-RU" w:eastAsia="ru-RU"/>
        </w:rPr>
      </w:pPr>
      <w:r>
        <w:rPr>
          <w:rFonts w:asciiTheme="minorHAnsi" w:eastAsia="Calibri" w:hAnsiTheme="minorHAnsi" w:cstheme="minorHAnsi"/>
          <w:color w:val="auto"/>
          <w:sz w:val="22"/>
          <w:szCs w:val="22"/>
          <w:lang w:val="ru-RU" w:eastAsia="ru-RU"/>
        </w:rPr>
        <w:t>Всего за 2023 год было проведено 3 заседания Комитета, на которых было рассмотрено 3 вопроса.</w:t>
      </w:r>
    </w:p>
    <w:p w:rsidR="00C81778" w:rsidRDefault="00C81778">
      <w:pPr>
        <w:ind w:firstLine="709"/>
        <w:jc w:val="both"/>
        <w:rPr>
          <w:rFonts w:eastAsia="Calibri" w:cstheme="minorHAnsi"/>
          <w:lang w:eastAsia="ru-RU"/>
        </w:rPr>
      </w:pPr>
    </w:p>
    <w:p w:rsidR="00C81778" w:rsidRDefault="00AB0D4E">
      <w:pPr>
        <w:pStyle w:val="Default"/>
        <w:ind w:firstLine="567"/>
        <w:jc w:val="both"/>
        <w:rPr>
          <w:rFonts w:asciiTheme="minorHAnsi" w:eastAsia="Calibri" w:hAnsiTheme="minorHAnsi" w:cstheme="minorHAnsi"/>
          <w:b/>
          <w:color w:val="auto"/>
          <w:sz w:val="22"/>
          <w:szCs w:val="22"/>
          <w:lang w:val="ru-RU" w:eastAsia="ru-RU"/>
        </w:rPr>
      </w:pPr>
      <w:r>
        <w:rPr>
          <w:rFonts w:asciiTheme="minorHAnsi" w:eastAsia="Calibri" w:hAnsiTheme="minorHAnsi" w:cstheme="minorHAnsi"/>
          <w:b/>
          <w:color w:val="auto"/>
          <w:sz w:val="22"/>
          <w:szCs w:val="22"/>
          <w:lang w:val="ru-RU" w:eastAsia="ru-RU"/>
        </w:rPr>
        <w:t>Комитет Совета директоров ПАО «ОГК-2» по надежности</w:t>
      </w:r>
    </w:p>
    <w:p w:rsidR="00C81778" w:rsidRDefault="00C81778">
      <w:pPr>
        <w:pStyle w:val="Default"/>
        <w:jc w:val="both"/>
        <w:rPr>
          <w:rFonts w:asciiTheme="minorHAnsi" w:eastAsia="Calibri" w:hAnsiTheme="minorHAnsi" w:cstheme="minorHAnsi"/>
          <w:color w:val="auto"/>
          <w:sz w:val="22"/>
          <w:szCs w:val="22"/>
          <w:lang w:val="ru-RU" w:eastAsia="ru-RU"/>
        </w:rPr>
      </w:pPr>
    </w:p>
    <w:p w:rsidR="00C81778" w:rsidRDefault="00AB0D4E">
      <w:pPr>
        <w:spacing w:after="0" w:line="240" w:lineRule="auto"/>
        <w:ind w:firstLine="708"/>
        <w:jc w:val="both"/>
        <w:rPr>
          <w:rFonts w:eastAsia="Calibri" w:cstheme="minorHAnsi"/>
          <w:lang w:eastAsia="ru-RU"/>
        </w:rPr>
      </w:pPr>
      <w:r>
        <w:rPr>
          <w:rFonts w:eastAsia="Calibri" w:cstheme="minorHAnsi"/>
          <w:lang w:eastAsia="ru-RU"/>
        </w:rPr>
        <w:t xml:space="preserve">Комитет действует в соответствии с Положением о Комитете Совета директоров ПАО «ОГК-2» по надежности, утвержденным решением Совета директоров ПАО «ОГК-2» от 08.09.2022 (протокол от 08.09.2022 № 284). </w:t>
      </w:r>
    </w:p>
    <w:p w:rsidR="00C81778" w:rsidRDefault="00AB0D4E">
      <w:pPr>
        <w:pStyle w:val="Default"/>
        <w:ind w:firstLine="709"/>
        <w:jc w:val="both"/>
        <w:rPr>
          <w:rFonts w:asciiTheme="minorHAnsi" w:eastAsia="Calibri" w:hAnsiTheme="minorHAnsi" w:cstheme="minorHAnsi"/>
          <w:color w:val="auto"/>
          <w:sz w:val="22"/>
          <w:szCs w:val="22"/>
          <w:lang w:val="ru-RU" w:eastAsia="ru-RU"/>
        </w:rPr>
      </w:pPr>
      <w:r>
        <w:rPr>
          <w:rFonts w:asciiTheme="minorHAnsi" w:eastAsia="Calibri" w:hAnsiTheme="minorHAnsi" w:cstheme="minorHAnsi"/>
          <w:color w:val="auto"/>
          <w:sz w:val="22"/>
          <w:szCs w:val="22"/>
          <w:lang w:val="ru-RU" w:eastAsia="ru-RU"/>
        </w:rPr>
        <w:t xml:space="preserve">Целью деятельности Комитета является обеспечение эффективной работы Совета директоров в решении вопросов, отнесенных к его компетенции. </w:t>
      </w:r>
    </w:p>
    <w:p w:rsidR="00C81778" w:rsidRDefault="00AB0D4E">
      <w:pPr>
        <w:pStyle w:val="Default"/>
        <w:ind w:firstLine="709"/>
        <w:jc w:val="both"/>
        <w:rPr>
          <w:rFonts w:asciiTheme="minorHAnsi" w:eastAsia="Calibri" w:hAnsiTheme="minorHAnsi" w:cstheme="minorHAnsi"/>
          <w:color w:val="auto"/>
          <w:sz w:val="22"/>
          <w:szCs w:val="22"/>
          <w:lang w:val="ru-RU" w:eastAsia="ru-RU"/>
        </w:rPr>
      </w:pPr>
      <w:r>
        <w:rPr>
          <w:rFonts w:asciiTheme="minorHAnsi" w:eastAsia="Calibri" w:hAnsiTheme="minorHAnsi" w:cstheme="minorHAnsi"/>
          <w:color w:val="auto"/>
          <w:sz w:val="22"/>
          <w:szCs w:val="22"/>
          <w:lang w:val="ru-RU" w:eastAsia="ru-RU"/>
        </w:rPr>
        <w:t>Задачей Комитета является, в том числе, оказание содействия Совету директоров в реализации его полномочий, связанных с обеспечением технологической надежности, безопасности и эффективности производства ПАО «ОГК-2», выработка и представление рекомендаций (заключений) по вопросам компетенции Совета директоров, включенным в повестку дня заседания Совета директоров, отнесенным к компетенции Комитета.</w:t>
      </w:r>
    </w:p>
    <w:p w:rsidR="00C81778" w:rsidRDefault="00AB0D4E">
      <w:pPr>
        <w:pStyle w:val="Default"/>
        <w:ind w:firstLine="709"/>
        <w:jc w:val="both"/>
        <w:rPr>
          <w:rFonts w:asciiTheme="minorHAnsi" w:eastAsia="Calibri" w:hAnsiTheme="minorHAnsi" w:cstheme="minorHAnsi"/>
          <w:color w:val="auto"/>
          <w:sz w:val="22"/>
          <w:szCs w:val="22"/>
          <w:lang w:val="ru-RU" w:eastAsia="ru-RU"/>
        </w:rPr>
      </w:pPr>
      <w:r>
        <w:rPr>
          <w:rFonts w:asciiTheme="minorHAnsi" w:eastAsia="Calibri" w:hAnsiTheme="minorHAnsi" w:cstheme="minorHAnsi"/>
          <w:color w:val="auto"/>
          <w:sz w:val="22"/>
          <w:szCs w:val="22"/>
          <w:lang w:val="ru-RU" w:eastAsia="ru-RU"/>
        </w:rPr>
        <w:t>В действующий состав Комитета не входят независимые директора.</w:t>
      </w:r>
    </w:p>
    <w:p w:rsidR="00C81778" w:rsidRDefault="00AB0D4E">
      <w:pPr>
        <w:pStyle w:val="Default"/>
        <w:ind w:firstLine="709"/>
        <w:jc w:val="both"/>
        <w:rPr>
          <w:rFonts w:asciiTheme="minorHAnsi" w:eastAsia="Calibri" w:hAnsiTheme="minorHAnsi" w:cstheme="minorHAnsi"/>
          <w:color w:val="auto"/>
          <w:sz w:val="22"/>
          <w:szCs w:val="22"/>
          <w:lang w:val="ru-RU" w:eastAsia="ru-RU"/>
        </w:rPr>
      </w:pPr>
      <w:r>
        <w:rPr>
          <w:rFonts w:asciiTheme="minorHAnsi" w:eastAsia="Calibri" w:hAnsiTheme="minorHAnsi" w:cstheme="minorHAnsi"/>
          <w:color w:val="auto"/>
          <w:sz w:val="22"/>
          <w:szCs w:val="22"/>
          <w:lang w:val="ru-RU" w:eastAsia="ru-RU"/>
        </w:rPr>
        <w:t>Всего за 2023 год было проведено 4 заседания Комитета, на которых было рассмотрено 24 вопроса.</w:t>
      </w:r>
    </w:p>
    <w:p w:rsidR="00C81778" w:rsidRDefault="00C81778">
      <w:pPr>
        <w:spacing w:before="120" w:after="0" w:line="240" w:lineRule="auto"/>
        <w:jc w:val="both"/>
        <w:rPr>
          <w:rFonts w:eastAsia="Calibri" w:cstheme="minorHAnsi"/>
          <w:lang w:eastAsia="ru-RU"/>
        </w:rPr>
      </w:pPr>
    </w:p>
    <w:p w:rsidR="00C81778" w:rsidRDefault="00AB0D4E">
      <w:pPr>
        <w:spacing w:before="120" w:after="0" w:line="240" w:lineRule="auto"/>
        <w:jc w:val="both"/>
        <w:rPr>
          <w:rFonts w:eastAsia="Calibri" w:cstheme="minorHAnsi"/>
          <w:b/>
          <w:lang w:eastAsia="ru-RU"/>
        </w:rPr>
      </w:pPr>
      <w:r>
        <w:rPr>
          <w:rFonts w:eastAsia="Calibri" w:cstheme="minorHAnsi"/>
          <w:b/>
          <w:lang w:eastAsia="ru-RU"/>
        </w:rPr>
        <w:t>Статистика посещаемости заседаний комитетов членами Совета директоров ПАО «ОГК-2»</w:t>
      </w:r>
    </w:p>
    <w:p w:rsidR="00C81778" w:rsidRDefault="00AB0D4E">
      <w:pPr>
        <w:spacing w:before="120" w:after="0" w:line="240" w:lineRule="auto"/>
        <w:jc w:val="both"/>
        <w:rPr>
          <w:rFonts w:eastAsia="Calibri" w:cstheme="minorHAnsi"/>
          <w:lang w:eastAsia="ru-RU"/>
        </w:rPr>
      </w:pPr>
      <w:r>
        <w:rPr>
          <w:noProof/>
          <w:lang w:eastAsia="ru-RU"/>
        </w:rPr>
        <w:drawing>
          <wp:inline distT="0" distB="0" distL="0" distR="0">
            <wp:extent cx="5886450" cy="1866900"/>
            <wp:effectExtent l="0" t="19050" r="0" b="0"/>
            <wp:docPr id="11" name="Diagram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bookmarkStart w:id="25" w:name="_Toc70326312"/>
      <w:bookmarkStart w:id="26" w:name="_Toc68593553"/>
      <w:bookmarkStart w:id="27" w:name="_Toc66967661"/>
    </w:p>
    <w:p w:rsidR="00C81778" w:rsidRDefault="00C81778">
      <w:pPr>
        <w:tabs>
          <w:tab w:val="left" w:pos="3697"/>
        </w:tabs>
        <w:spacing w:after="0" w:line="240" w:lineRule="auto"/>
        <w:jc w:val="both"/>
        <w:rPr>
          <w:rFonts w:eastAsia="Calibri" w:cstheme="minorHAnsi"/>
          <w:lang w:eastAsia="ru-RU"/>
        </w:rPr>
      </w:pPr>
    </w:p>
    <w:p w:rsidR="00C81778" w:rsidRDefault="00AB0D4E">
      <w:pPr>
        <w:pBdr>
          <w:top w:val="single" w:sz="4" w:space="1" w:color="000000"/>
          <w:left w:val="single" w:sz="4" w:space="4" w:color="000000"/>
          <w:bottom w:val="single" w:sz="4" w:space="1" w:color="000000"/>
          <w:right w:val="single" w:sz="4" w:space="4" w:color="000000"/>
        </w:pBdr>
        <w:shd w:val="clear" w:color="auto" w:fill="DEEAF6" w:themeFill="accent5" w:themeFillTint="33"/>
        <w:spacing w:after="0" w:line="240" w:lineRule="auto"/>
        <w:jc w:val="both"/>
        <w:rPr>
          <w:rFonts w:eastAsia="Calibri" w:cstheme="minorHAnsi"/>
          <w:lang w:eastAsia="ru-RU"/>
        </w:rPr>
      </w:pPr>
      <w:r>
        <w:rPr>
          <w:rFonts w:eastAsia="Calibri" w:cstheme="minorHAnsi"/>
          <w:lang w:eastAsia="ru-RU"/>
        </w:rPr>
        <w:t>Комитет Совета директоров ПАО «ОГК-2» по надежности: члены Совета директоров ПАО «ОГК-2» в состав комитета не входят.</w:t>
      </w:r>
    </w:p>
    <w:p w:rsidR="00C81778" w:rsidRDefault="00C81778">
      <w:pPr>
        <w:rPr>
          <w:rFonts w:cstheme="minorHAnsi"/>
        </w:rPr>
      </w:pP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Единоличный исполнительный орган</w:t>
      </w:r>
      <w:bookmarkEnd w:id="25"/>
      <w:bookmarkEnd w:id="26"/>
      <w:bookmarkEnd w:id="27"/>
    </w:p>
    <w:p w:rsidR="00C81778" w:rsidRDefault="00AB0D4E">
      <w:pPr>
        <w:spacing w:before="120" w:after="0" w:line="240" w:lineRule="auto"/>
        <w:jc w:val="both"/>
        <w:rPr>
          <w:rFonts w:eastAsia="Calibri" w:cstheme="minorHAnsi"/>
          <w:lang w:eastAsia="ru-RU"/>
        </w:rPr>
      </w:pPr>
      <w:r>
        <w:rPr>
          <w:rFonts w:eastAsia="Calibri" w:cstheme="minorHAnsi"/>
          <w:lang w:eastAsia="ru-RU"/>
        </w:rPr>
        <w:t>Решением годового Общего собрания акционеров ПАО «ОГК-2» от 26.06.2018 полномочия единоличного исполнительного органа переданы управляющей организации.</w:t>
      </w:r>
    </w:p>
    <w:p w:rsidR="00C81778" w:rsidRDefault="00C81778">
      <w:pPr>
        <w:jc w:val="both"/>
        <w:rPr>
          <w:rFonts w:eastAsiaTheme="majorEastAsia" w:cstheme="minorHAnsi"/>
          <w:b/>
          <w:bCs/>
          <w:color w:val="1F3763" w:themeColor="accent1" w:themeShade="7F"/>
          <w:lang w:eastAsia="ru-RU"/>
        </w:rPr>
      </w:pPr>
    </w:p>
    <w:p w:rsidR="00C81778" w:rsidRDefault="00AB0D4E">
      <w:pPr>
        <w:jc w:val="both"/>
        <w:rPr>
          <w:rFonts w:eastAsiaTheme="majorEastAsia" w:cstheme="minorHAnsi"/>
          <w:b/>
          <w:bCs/>
          <w:color w:val="1F3763" w:themeColor="accent1" w:themeShade="7F"/>
          <w:lang w:eastAsia="ru-RU"/>
        </w:rPr>
      </w:pPr>
      <w:r>
        <w:rPr>
          <w:rFonts w:eastAsiaTheme="majorEastAsia" w:cstheme="minorHAnsi"/>
          <w:b/>
          <w:bCs/>
          <w:color w:val="1F3763" w:themeColor="accent1" w:themeShade="7F"/>
          <w:lang w:eastAsia="ru-RU"/>
        </w:rPr>
        <w:t>Ревизионная комиссия</w:t>
      </w:r>
    </w:p>
    <w:p w:rsidR="00C81778" w:rsidRDefault="00AB0D4E">
      <w:pPr>
        <w:jc w:val="both"/>
        <w:rPr>
          <w:rFonts w:cstheme="minorHAnsi"/>
        </w:rPr>
      </w:pPr>
      <w:r>
        <w:rPr>
          <w:rFonts w:cstheme="minorHAnsi"/>
        </w:rPr>
        <w:t>Формирование Ревизионной комиссии не предусмотрено Уставом ПАО «ОГК-2».</w:t>
      </w:r>
    </w:p>
    <w:p w:rsidR="00C81778" w:rsidRDefault="00C81778">
      <w:pPr>
        <w:jc w:val="both"/>
        <w:rPr>
          <w:rFonts w:eastAsiaTheme="majorEastAsia" w:cstheme="minorHAnsi"/>
          <w:b/>
          <w:bCs/>
          <w:color w:val="1F3763" w:themeColor="accent1" w:themeShade="7F"/>
          <w:lang w:eastAsia="ru-RU"/>
        </w:rPr>
      </w:pPr>
    </w:p>
    <w:p w:rsidR="00C81778" w:rsidRDefault="00C81778">
      <w:pPr>
        <w:jc w:val="both"/>
        <w:rPr>
          <w:rFonts w:eastAsiaTheme="majorEastAsia" w:cstheme="minorHAnsi"/>
          <w:b/>
          <w:bCs/>
          <w:color w:val="1F3763" w:themeColor="accent1" w:themeShade="7F"/>
          <w:lang w:eastAsia="ru-RU"/>
        </w:rPr>
      </w:pPr>
    </w:p>
    <w:p w:rsidR="00C81778" w:rsidRDefault="00C81778">
      <w:pPr>
        <w:jc w:val="both"/>
        <w:rPr>
          <w:rFonts w:eastAsiaTheme="majorEastAsia" w:cstheme="minorHAnsi"/>
          <w:b/>
          <w:bCs/>
          <w:color w:val="1F3763" w:themeColor="accent1" w:themeShade="7F"/>
          <w:lang w:eastAsia="ru-RU"/>
        </w:rPr>
      </w:pPr>
    </w:p>
    <w:p w:rsidR="00C81778" w:rsidRDefault="00AB0D4E">
      <w:pPr>
        <w:jc w:val="both"/>
        <w:rPr>
          <w:rFonts w:eastAsiaTheme="majorEastAsia" w:cstheme="minorHAnsi"/>
          <w:b/>
          <w:bCs/>
          <w:color w:val="1F3763" w:themeColor="accent1" w:themeShade="7F"/>
          <w:lang w:eastAsia="ru-RU"/>
        </w:rPr>
      </w:pPr>
      <w:r>
        <w:rPr>
          <w:rFonts w:eastAsiaTheme="majorEastAsia" w:cstheme="minorHAnsi"/>
          <w:b/>
          <w:bCs/>
          <w:color w:val="1F3763" w:themeColor="accent1" w:themeShade="7F"/>
          <w:lang w:eastAsia="ru-RU"/>
        </w:rPr>
        <w:lastRenderedPageBreak/>
        <w:t>Внутренний аудит</w:t>
      </w:r>
    </w:p>
    <w:p w:rsidR="00C81778" w:rsidRDefault="00AB0D4E">
      <w:pPr>
        <w:jc w:val="both"/>
        <w:rPr>
          <w:rFonts w:cstheme="minorHAnsi"/>
        </w:rPr>
      </w:pPr>
      <w:r>
        <w:rPr>
          <w:rFonts w:cstheme="minorHAnsi"/>
        </w:rPr>
        <w:t xml:space="preserve">Независимую и объективную оценку надежности и эффективности системы внутреннего контроля, системы управления рисками и корпоративного управления в ПАО «ОГК-2» проводит Управление внутреннего аудита (далее – УВА), которое функционально подотчетно Совету директоров                       ПАО «ОГК-2» (через Комитет Совета директоров по аудиту) и административно подчинена единоличному исполнительному органу Общества. </w:t>
      </w:r>
    </w:p>
    <w:p w:rsidR="00C81778" w:rsidRDefault="00AB0D4E">
      <w:pPr>
        <w:jc w:val="both"/>
        <w:rPr>
          <w:rFonts w:cstheme="minorHAnsi"/>
        </w:rPr>
      </w:pPr>
      <w:r>
        <w:rPr>
          <w:rFonts w:cstheme="minorHAnsi"/>
        </w:rPr>
        <w:t>В рамках своей деятельности УВА руководствуется Политикой внутреннего аудита (утверждена решением Совета директоров ПАО «ОГК-2», протокол от 30.11.2023 № 310), Положением об Управлении внутреннего аудита (утверждено решением Совета директоров ПАО «ОГК-2», протокол от 30.11.2023 № 310), а также требованиями и рекомендациями действующего законодательства РФ.</w:t>
      </w:r>
    </w:p>
    <w:p w:rsidR="00C81778" w:rsidRDefault="00AB0D4E">
      <w:pPr>
        <w:jc w:val="both"/>
        <w:rPr>
          <w:rFonts w:cstheme="minorHAnsi"/>
        </w:rPr>
      </w:pPr>
      <w:bookmarkStart w:id="28" w:name="_Toc104992577"/>
      <w:bookmarkStart w:id="29" w:name="_Toc71644577"/>
      <w:r>
        <w:rPr>
          <w:rFonts w:cstheme="minorHAnsi"/>
        </w:rPr>
        <w:t>Управление внутреннего аудита осуществляет следующие основные функции:</w:t>
      </w:r>
      <w:bookmarkEnd w:id="28"/>
      <w:bookmarkEnd w:id="29"/>
    </w:p>
    <w:p w:rsidR="00C81778" w:rsidRDefault="00AB0D4E">
      <w:pPr>
        <w:pStyle w:val="af2"/>
        <w:numPr>
          <w:ilvl w:val="0"/>
          <w:numId w:val="15"/>
        </w:numPr>
        <w:jc w:val="both"/>
      </w:pPr>
      <w:r>
        <w:t xml:space="preserve">Проведение внутренних аудиторских проверок структурных подразделений, процессов, направлений деятельности, проектов в Обществе и в объектах вложений. </w:t>
      </w:r>
    </w:p>
    <w:p w:rsidR="00C81778" w:rsidRDefault="00AB0D4E">
      <w:pPr>
        <w:pStyle w:val="af2"/>
        <w:numPr>
          <w:ilvl w:val="0"/>
          <w:numId w:val="15"/>
        </w:numPr>
        <w:jc w:val="both"/>
      </w:pPr>
      <w:r>
        <w:t xml:space="preserve">Оценка надежности и эффективности системы внутреннего контроля, системы управления рисками, а также оценка корпоративного управления в Обществе. </w:t>
      </w:r>
    </w:p>
    <w:p w:rsidR="00C81778" w:rsidRDefault="00AB0D4E">
      <w:pPr>
        <w:pStyle w:val="af2"/>
        <w:numPr>
          <w:ilvl w:val="0"/>
          <w:numId w:val="15"/>
        </w:numPr>
        <w:jc w:val="both"/>
      </w:pPr>
      <w:r>
        <w:t xml:space="preserve">Формирование предложений по устранению выявленных недостатков и рекомендаций по повышению эффективности и результативности деятельности Общества и объектов вложений. </w:t>
      </w:r>
    </w:p>
    <w:p w:rsidR="00C81778" w:rsidRDefault="00AB0D4E">
      <w:pPr>
        <w:pStyle w:val="af2"/>
        <w:numPr>
          <w:ilvl w:val="0"/>
          <w:numId w:val="15"/>
        </w:numPr>
        <w:jc w:val="both"/>
      </w:pPr>
      <w:r>
        <w:t>Мониторинг выполнения планов мероприятий по устранению нарушений и недостатков, выявленных УВА, ревизионной комиссией Общества (в случае если ревизионная комиссия избрана) при проведении проверок.</w:t>
      </w:r>
    </w:p>
    <w:p w:rsidR="00C81778" w:rsidRDefault="00AB0D4E">
      <w:pPr>
        <w:pStyle w:val="af2"/>
        <w:numPr>
          <w:ilvl w:val="0"/>
          <w:numId w:val="15"/>
        </w:numPr>
        <w:jc w:val="both"/>
      </w:pPr>
      <w:r>
        <w:t xml:space="preserve">Содействие в проведении ревизионных проверок Общества и объектов вложений. </w:t>
      </w:r>
    </w:p>
    <w:p w:rsidR="00C81778" w:rsidRDefault="00AB0D4E">
      <w:pPr>
        <w:pStyle w:val="af2"/>
        <w:numPr>
          <w:ilvl w:val="0"/>
          <w:numId w:val="15"/>
        </w:numPr>
        <w:jc w:val="both"/>
      </w:pPr>
      <w:r>
        <w:t xml:space="preserve">Участие в специальных (служебных) расследованиях по фактам злоупотреблений (мошенничества), причинения Обществу и объектам вложений ущерба, нецелевого, неэффективного использования ресурсов. </w:t>
      </w:r>
    </w:p>
    <w:p w:rsidR="00C81778" w:rsidRDefault="00AB0D4E">
      <w:pPr>
        <w:pStyle w:val="af2"/>
        <w:numPr>
          <w:ilvl w:val="0"/>
          <w:numId w:val="15"/>
        </w:numPr>
        <w:jc w:val="both"/>
      </w:pPr>
      <w:r>
        <w:t>Взаимодействие с Советом директоров, Комитетом Совета директоров по аудиту, ревизионной комиссией (в случае если ревизионная комиссия избрана), исполнительными органами Общества, подразделениями Общества, внешними аудиторами и консультантами по вопросам, относящимся к деятельности внутреннего аудита;</w:t>
      </w:r>
    </w:p>
    <w:p w:rsidR="00C81778" w:rsidRDefault="00AB0D4E">
      <w:pPr>
        <w:pStyle w:val="af2"/>
        <w:numPr>
          <w:ilvl w:val="0"/>
          <w:numId w:val="15"/>
        </w:numPr>
        <w:jc w:val="both"/>
      </w:pPr>
      <w:r>
        <w:t>Формирование и утверждение на Совете директоров Общества плана деятельности внутреннего аудита.</w:t>
      </w:r>
    </w:p>
    <w:p w:rsidR="00C81778" w:rsidRDefault="00AB0D4E">
      <w:pPr>
        <w:pStyle w:val="af2"/>
        <w:numPr>
          <w:ilvl w:val="0"/>
          <w:numId w:val="15"/>
        </w:numPr>
        <w:jc w:val="both"/>
      </w:pPr>
      <w:r>
        <w:t>Формирование и утверждение у Единоличного исполнительного органа Общества плана-графика работы УВА.</w:t>
      </w:r>
    </w:p>
    <w:p w:rsidR="00C81778" w:rsidRDefault="00AB0D4E">
      <w:pPr>
        <w:pStyle w:val="af2"/>
        <w:numPr>
          <w:ilvl w:val="0"/>
          <w:numId w:val="15"/>
        </w:numPr>
        <w:jc w:val="both"/>
      </w:pPr>
      <w:r>
        <w:t>Обеспечение выполнения плана деятельности внутреннего аудита и плана-графика работы УВА.</w:t>
      </w:r>
    </w:p>
    <w:p w:rsidR="00C81778" w:rsidRDefault="00AB0D4E">
      <w:pPr>
        <w:pStyle w:val="af2"/>
        <w:numPr>
          <w:ilvl w:val="0"/>
          <w:numId w:val="15"/>
        </w:numPr>
        <w:jc w:val="both"/>
      </w:pPr>
      <w:r>
        <w:t>Анализ результатов внешних аудиторских проверок Общества и контроль за составлением и реализацией планов мероприятий по устранению нарушений, выявленных в ходе проверок.</w:t>
      </w:r>
    </w:p>
    <w:p w:rsidR="00C81778" w:rsidRDefault="00AB0D4E">
      <w:pPr>
        <w:pStyle w:val="af2"/>
        <w:numPr>
          <w:ilvl w:val="0"/>
          <w:numId w:val="15"/>
        </w:numPr>
        <w:jc w:val="both"/>
      </w:pPr>
      <w:r>
        <w:t>Анализ договоров, заключаемых Обществом, проверка документального подтверждения экономической целесообразности заключаемых Обществом договоров и соблюдения локальных нормативных актов Общества, в порядке, предусмотренном утвержденными в Обществе локальными нормативными актами.</w:t>
      </w:r>
    </w:p>
    <w:p w:rsidR="00C81778" w:rsidRDefault="00AB0D4E">
      <w:pPr>
        <w:pStyle w:val="af2"/>
        <w:numPr>
          <w:ilvl w:val="0"/>
          <w:numId w:val="15"/>
        </w:numPr>
        <w:jc w:val="both"/>
      </w:pPr>
      <w:r>
        <w:t>Осуществление взаимодействия с аудиторскими, образовательными и другими организациями с целью изучения передовых методов и приемов контрольно-ревизионной и аудиторской деятельности и применения их на практике.</w:t>
      </w:r>
    </w:p>
    <w:p w:rsidR="00C81778" w:rsidRDefault="00AB0D4E">
      <w:pPr>
        <w:pStyle w:val="af2"/>
        <w:numPr>
          <w:ilvl w:val="0"/>
          <w:numId w:val="15"/>
        </w:numPr>
        <w:jc w:val="both"/>
      </w:pPr>
      <w:r>
        <w:lastRenderedPageBreak/>
        <w:t>Участие в формировании задач для автоматизированных и информационно-управляющих систем с целью получения информации в отношении объектов проверок, отдельных бизнес-процессов и инвестиционных проектов.</w:t>
      </w:r>
    </w:p>
    <w:p w:rsidR="00C81778" w:rsidRDefault="00AB0D4E">
      <w:pPr>
        <w:pStyle w:val="af2"/>
        <w:numPr>
          <w:ilvl w:val="0"/>
          <w:numId w:val="15"/>
        </w:numPr>
        <w:jc w:val="both"/>
      </w:pPr>
      <w:r>
        <w:t>Мониторинг выполнения планов мероприятий по устранению нарушений и недостатков, выявленных УВА, ревизионной комиссией Общества (в случае если ревизионная комиссия избрана) при проведении проверок.</w:t>
      </w:r>
    </w:p>
    <w:p w:rsidR="00C81778" w:rsidRDefault="00C81778">
      <w:pPr>
        <w:pStyle w:val="Default"/>
        <w:ind w:left="709"/>
        <w:rPr>
          <w:rFonts w:asciiTheme="minorHAnsi" w:hAnsiTheme="minorHAnsi" w:cstheme="minorBidi"/>
          <w:color w:val="auto"/>
          <w:sz w:val="22"/>
          <w:szCs w:val="22"/>
          <w:lang w:val="ru-RU"/>
        </w:rPr>
      </w:pPr>
    </w:p>
    <w:p w:rsidR="00C81778" w:rsidRDefault="00C81778">
      <w:pPr>
        <w:pStyle w:val="af2"/>
        <w:spacing w:after="200" w:line="276" w:lineRule="auto"/>
        <w:jc w:val="both"/>
        <w:rPr>
          <w:rFonts w:cstheme="minorHAnsi"/>
        </w:rPr>
      </w:pP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r>
        <w:rPr>
          <w:rFonts w:asciiTheme="minorHAnsi" w:eastAsiaTheme="majorEastAsia" w:hAnsiTheme="minorHAnsi" w:cstheme="minorHAnsi"/>
          <w:color w:val="1F3763" w:themeColor="accent1" w:themeShade="7F"/>
          <w:sz w:val="22"/>
          <w:szCs w:val="22"/>
        </w:rPr>
        <w:t>Оценка эффективности процесса проведения внешнего аудитора</w:t>
      </w:r>
    </w:p>
    <w:p w:rsidR="00C81778" w:rsidRDefault="00AB0D4E">
      <w:pPr>
        <w:pStyle w:val="31"/>
        <w:keepLines/>
        <w:spacing w:before="40" w:after="0" w:line="276" w:lineRule="auto"/>
        <w:ind w:firstLine="360"/>
        <w:jc w:val="both"/>
        <w:rPr>
          <w:rFonts w:asciiTheme="minorHAnsi" w:eastAsia="Calibri" w:hAnsiTheme="minorHAnsi" w:cstheme="minorHAnsi"/>
          <w:b w:val="0"/>
          <w:bCs w:val="0"/>
          <w:sz w:val="22"/>
          <w:szCs w:val="22"/>
          <w:lang w:eastAsia="en-US"/>
        </w:rPr>
      </w:pPr>
      <w:r>
        <w:rPr>
          <w:rFonts w:asciiTheme="minorHAnsi" w:eastAsia="Calibri" w:hAnsiTheme="minorHAnsi" w:cstheme="minorHAnsi"/>
          <w:b w:val="0"/>
          <w:bCs w:val="0"/>
          <w:sz w:val="22"/>
          <w:szCs w:val="22"/>
          <w:lang w:eastAsia="en-US"/>
        </w:rPr>
        <w:t xml:space="preserve">В соответствии с решением, принятым Комитетом Совета директоров ПАО «ОГК-2» по аудиту (протокол от 05.05.2023 № 4/2023) принято к сведению заявление аудитора Общества – </w:t>
      </w:r>
      <w:proofErr w:type="spellStart"/>
      <w:r>
        <w:rPr>
          <w:rFonts w:asciiTheme="minorHAnsi" w:eastAsia="Calibri" w:hAnsiTheme="minorHAnsi" w:cstheme="minorHAnsi"/>
          <w:b w:val="0"/>
          <w:bCs w:val="0"/>
          <w:sz w:val="22"/>
          <w:szCs w:val="22"/>
          <w:lang w:eastAsia="en-US"/>
        </w:rPr>
        <w:t>Юникон</w:t>
      </w:r>
      <w:proofErr w:type="spellEnd"/>
      <w:r>
        <w:rPr>
          <w:rFonts w:asciiTheme="minorHAnsi" w:eastAsia="Calibri" w:hAnsiTheme="minorHAnsi" w:cstheme="minorHAnsi"/>
          <w:b w:val="0"/>
          <w:bCs w:val="0"/>
          <w:sz w:val="22"/>
          <w:szCs w:val="22"/>
          <w:lang w:eastAsia="en-US"/>
        </w:rPr>
        <w:t xml:space="preserve"> АО о том, что аудитор соблюдал все соответствующие этические требования в отношении независимости и объективности.</w:t>
      </w:r>
    </w:p>
    <w:p w:rsidR="00C81778" w:rsidRDefault="00AB0D4E">
      <w:pPr>
        <w:pStyle w:val="31"/>
        <w:keepLines/>
        <w:spacing w:before="40" w:after="0" w:line="276" w:lineRule="auto"/>
        <w:ind w:firstLine="360"/>
        <w:jc w:val="both"/>
        <w:rPr>
          <w:rFonts w:asciiTheme="minorHAnsi" w:eastAsia="Calibri" w:hAnsiTheme="minorHAnsi" w:cstheme="minorHAnsi"/>
          <w:b w:val="0"/>
          <w:bCs w:val="0"/>
          <w:sz w:val="22"/>
          <w:szCs w:val="22"/>
          <w:lang w:eastAsia="en-US"/>
        </w:rPr>
      </w:pPr>
      <w:r>
        <w:rPr>
          <w:rFonts w:asciiTheme="minorHAnsi" w:eastAsia="Calibri" w:hAnsiTheme="minorHAnsi" w:cstheme="minorHAnsi"/>
          <w:b w:val="0"/>
          <w:bCs w:val="0"/>
          <w:sz w:val="22"/>
          <w:szCs w:val="22"/>
          <w:lang w:eastAsia="en-US"/>
        </w:rPr>
        <w:t xml:space="preserve">Аудитор Общества – </w:t>
      </w:r>
      <w:proofErr w:type="spellStart"/>
      <w:r>
        <w:rPr>
          <w:rFonts w:asciiTheme="minorHAnsi" w:eastAsia="Calibri" w:hAnsiTheme="minorHAnsi" w:cstheme="minorHAnsi"/>
          <w:b w:val="0"/>
          <w:bCs w:val="0"/>
          <w:sz w:val="22"/>
          <w:szCs w:val="22"/>
          <w:lang w:eastAsia="en-US"/>
        </w:rPr>
        <w:t>Юникон</w:t>
      </w:r>
      <w:proofErr w:type="spellEnd"/>
      <w:r>
        <w:rPr>
          <w:rFonts w:asciiTheme="minorHAnsi" w:eastAsia="Calibri" w:hAnsiTheme="minorHAnsi" w:cstheme="minorHAnsi"/>
          <w:b w:val="0"/>
          <w:bCs w:val="0"/>
          <w:sz w:val="22"/>
          <w:szCs w:val="22"/>
          <w:lang w:eastAsia="en-US"/>
        </w:rPr>
        <w:t xml:space="preserve"> АО признан соответствующим принципам независимости и объективности в соответствии с этическими требованиями, применимыми к аудиту бухгалтерской (финансовой) отчетности в Российской Федерации. </w:t>
      </w:r>
    </w:p>
    <w:p w:rsidR="00C81778" w:rsidRDefault="00AB0D4E">
      <w:pPr>
        <w:pStyle w:val="31"/>
        <w:keepLines/>
        <w:spacing w:before="40" w:after="0" w:line="276" w:lineRule="auto"/>
        <w:ind w:firstLine="360"/>
        <w:jc w:val="both"/>
        <w:rPr>
          <w:rFonts w:asciiTheme="minorHAnsi" w:eastAsia="Calibri" w:hAnsiTheme="minorHAnsi" w:cstheme="minorHAnsi"/>
          <w:b w:val="0"/>
          <w:bCs w:val="0"/>
          <w:sz w:val="22"/>
          <w:szCs w:val="22"/>
          <w:lang w:eastAsia="en-US"/>
        </w:rPr>
      </w:pPr>
      <w:r>
        <w:rPr>
          <w:rFonts w:asciiTheme="minorHAnsi" w:eastAsia="Calibri" w:hAnsiTheme="minorHAnsi" w:cstheme="minorHAnsi"/>
          <w:b w:val="0"/>
          <w:bCs w:val="0"/>
          <w:sz w:val="22"/>
          <w:szCs w:val="22"/>
          <w:lang w:eastAsia="en-US"/>
        </w:rPr>
        <w:t xml:space="preserve">Аудитора Общества – </w:t>
      </w:r>
      <w:proofErr w:type="spellStart"/>
      <w:r>
        <w:rPr>
          <w:rFonts w:asciiTheme="minorHAnsi" w:eastAsia="Calibri" w:hAnsiTheme="minorHAnsi" w:cstheme="minorHAnsi"/>
          <w:b w:val="0"/>
          <w:bCs w:val="0"/>
          <w:sz w:val="22"/>
          <w:szCs w:val="22"/>
          <w:lang w:eastAsia="en-US"/>
        </w:rPr>
        <w:t>Юникон</w:t>
      </w:r>
      <w:proofErr w:type="spellEnd"/>
      <w:r>
        <w:rPr>
          <w:rFonts w:asciiTheme="minorHAnsi" w:eastAsia="Calibri" w:hAnsiTheme="minorHAnsi" w:cstheme="minorHAnsi"/>
          <w:b w:val="0"/>
          <w:bCs w:val="0"/>
          <w:sz w:val="22"/>
          <w:szCs w:val="22"/>
          <w:lang w:eastAsia="en-US"/>
        </w:rPr>
        <w:t xml:space="preserve"> АО признан соответствующим принципам независимости и объективности в соответствии с правилами независимости аудиторов и аудиторских организаций и Кодексом профессиональной этики аудиторов, соответствующими Международному кодексу этики профессиональных бухгалтеров, включая международные стандарты независимости, разработанному Советом по международным стандартам этики для профессиональных бухгалтеров.</w:t>
      </w:r>
    </w:p>
    <w:p w:rsidR="00C81778" w:rsidRDefault="00AB0D4E">
      <w:pPr>
        <w:pStyle w:val="31"/>
        <w:keepLines/>
        <w:spacing w:before="40" w:after="0" w:line="276" w:lineRule="auto"/>
        <w:ind w:firstLine="708"/>
        <w:jc w:val="both"/>
        <w:rPr>
          <w:rFonts w:asciiTheme="minorHAnsi" w:eastAsia="Calibri" w:hAnsiTheme="minorHAnsi" w:cstheme="minorHAnsi"/>
          <w:b w:val="0"/>
          <w:bCs w:val="0"/>
          <w:sz w:val="22"/>
          <w:szCs w:val="22"/>
          <w:lang w:eastAsia="en-US"/>
        </w:rPr>
      </w:pPr>
      <w:r>
        <w:rPr>
          <w:rFonts w:asciiTheme="minorHAnsi" w:eastAsia="Calibri" w:hAnsiTheme="minorHAnsi" w:cstheme="minorHAnsi"/>
          <w:b w:val="0"/>
          <w:bCs w:val="0"/>
          <w:sz w:val="22"/>
          <w:szCs w:val="22"/>
          <w:lang w:eastAsia="en-US"/>
        </w:rPr>
        <w:t xml:space="preserve">Признано отсутствие конфликта интересов между Обществом и аудитором </w:t>
      </w:r>
      <w:proofErr w:type="spellStart"/>
      <w:r>
        <w:rPr>
          <w:rFonts w:asciiTheme="minorHAnsi" w:eastAsia="Calibri" w:hAnsiTheme="minorHAnsi" w:cstheme="minorHAnsi"/>
          <w:b w:val="0"/>
          <w:bCs w:val="0"/>
          <w:sz w:val="22"/>
          <w:szCs w:val="22"/>
          <w:lang w:eastAsia="en-US"/>
        </w:rPr>
        <w:t>Юникон</w:t>
      </w:r>
      <w:proofErr w:type="spellEnd"/>
      <w:r>
        <w:rPr>
          <w:rFonts w:asciiTheme="minorHAnsi" w:eastAsia="Calibri" w:hAnsiTheme="minorHAnsi" w:cstheme="minorHAnsi"/>
          <w:b w:val="0"/>
          <w:bCs w:val="0"/>
          <w:sz w:val="22"/>
          <w:szCs w:val="22"/>
          <w:lang w:eastAsia="en-US"/>
        </w:rPr>
        <w:t xml:space="preserve"> АО.</w:t>
      </w:r>
    </w:p>
    <w:p w:rsidR="00C81778" w:rsidRDefault="00C81778">
      <w:pPr>
        <w:pStyle w:val="31"/>
        <w:keepLines/>
        <w:spacing w:before="40" w:after="0" w:line="276" w:lineRule="auto"/>
        <w:rPr>
          <w:rFonts w:asciiTheme="minorHAnsi" w:eastAsiaTheme="majorEastAsia" w:hAnsiTheme="minorHAnsi" w:cstheme="minorHAnsi"/>
          <w:color w:val="1F3763" w:themeColor="accent1" w:themeShade="7F"/>
          <w:sz w:val="22"/>
          <w:szCs w:val="22"/>
        </w:rPr>
      </w:pPr>
    </w:p>
    <w:p w:rsidR="00C81778" w:rsidRDefault="00AB0D4E">
      <w:pPr>
        <w:ind w:firstLine="708"/>
        <w:jc w:val="both"/>
      </w:pPr>
      <w:r>
        <w:t>Комитет по аудиту подтвердил:</w:t>
      </w:r>
    </w:p>
    <w:p w:rsidR="00C81778" w:rsidRDefault="00AB0D4E">
      <w:pPr>
        <w:pStyle w:val="af2"/>
        <w:numPr>
          <w:ilvl w:val="0"/>
          <w:numId w:val="15"/>
        </w:numPr>
        <w:jc w:val="both"/>
      </w:pPr>
      <w:r>
        <w:t>отсутствие замечаний к заключению по результатам обзорной проверки промежуточной сокращенной консолидированной финансовой отчетности Группы ОГК-2 за период с 01.01.2023 по 30.06.2023, подготовленной в соответствии с международными стандартами финансовой отчетности; аудиторское заключение о бухгалтерской (финансовой) отчетности ПАО «ОГК-2» за 2022 год составлено в соответствии с международными стандартами аудита (МСА). Аудиторское заключение содержит мнение о том, что бухгалтерская (финансовая) отчетность отражает достоверно во всех существенных отношениях финансовое положение Общества по состоянию на 31.12.2022, а также его финансовые результаты и движение денежных средств за 2022 год в соответствии с правилами составления бухгалтерской (финансовой) отчетности, установленными в Российской Федерации;</w:t>
      </w:r>
    </w:p>
    <w:p w:rsidR="00C81778" w:rsidRDefault="00AB0D4E">
      <w:pPr>
        <w:pStyle w:val="af2"/>
        <w:numPr>
          <w:ilvl w:val="0"/>
          <w:numId w:val="15"/>
        </w:numPr>
        <w:jc w:val="both"/>
        <w:rPr>
          <w:b/>
          <w:bCs/>
        </w:rPr>
      </w:pPr>
      <w:r>
        <w:t>аудиторское заключение  о консолидированной финансовой отчетности ПАО «ОГК-2», подготовленной в соответствии с международными стандартами финансовой отчетности за 2022 год, составлено в соответствии с международными стандартами аудита (МСА), содержит мнение о достоверности во всех существенных аспектах консолидированного финансового положения Группы по состоянию на 31.12.2022 года, а также ее консолидированных финансовых результатов и консолидированного движения денежных средств за 2022 год в соответствии с Международными стандартами финансовой отчетности.</w:t>
      </w:r>
    </w:p>
    <w:p w:rsidR="00C81778" w:rsidRDefault="00C81778"/>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bookmarkStart w:id="30" w:name="_Toc129307813"/>
      <w:r>
        <w:rPr>
          <w:rFonts w:asciiTheme="minorHAnsi" w:eastAsiaTheme="majorEastAsia" w:hAnsiTheme="minorHAnsi" w:cstheme="minorHAnsi"/>
          <w:color w:val="1F3763" w:themeColor="accent1" w:themeShade="7F"/>
          <w:sz w:val="22"/>
          <w:szCs w:val="22"/>
        </w:rPr>
        <w:lastRenderedPageBreak/>
        <w:t>Оценка деятельности Совета директоров</w:t>
      </w:r>
      <w:bookmarkEnd w:id="30"/>
      <w:r>
        <w:rPr>
          <w:rFonts w:asciiTheme="minorHAnsi" w:eastAsiaTheme="majorEastAsia" w:hAnsiTheme="minorHAnsi" w:cstheme="minorHAnsi"/>
          <w:color w:val="1F3763" w:themeColor="accent1" w:themeShade="7F"/>
          <w:sz w:val="22"/>
          <w:szCs w:val="22"/>
        </w:rPr>
        <w:t xml:space="preserve"> и комитетов Совета директоров</w:t>
      </w:r>
    </w:p>
    <w:p w:rsidR="00C81778" w:rsidRDefault="00AB0D4E">
      <w:pPr>
        <w:spacing w:after="120" w:line="276" w:lineRule="auto"/>
        <w:ind w:firstLine="708"/>
        <w:jc w:val="both"/>
        <w:rPr>
          <w:rFonts w:eastAsia="Calibri" w:cstheme="minorHAnsi"/>
        </w:rPr>
      </w:pPr>
      <w:r>
        <w:rPr>
          <w:rFonts w:eastAsia="Calibri" w:cstheme="minorHAnsi"/>
        </w:rPr>
        <w:t>В 2024 году была впервые проведена независимая оценка деятельности работы Совета директоров и комитетов Совета директоров ПАО «ОГК-2» за 2023-2024 корпоративный год.</w:t>
      </w:r>
    </w:p>
    <w:p w:rsidR="00C81778" w:rsidRDefault="00AB0D4E">
      <w:pPr>
        <w:spacing w:after="120" w:line="276" w:lineRule="auto"/>
        <w:ind w:firstLine="708"/>
        <w:jc w:val="both"/>
        <w:rPr>
          <w:rFonts w:eastAsia="Calibri" w:cstheme="minorHAnsi"/>
        </w:rPr>
      </w:pPr>
      <w:r>
        <w:rPr>
          <w:rFonts w:eastAsia="Calibri" w:cstheme="minorHAnsi"/>
        </w:rPr>
        <w:t>АО ВТБ Регистратор обладает необходимыми компетенциями и опытом проведения оценки Совета директоров и комитетов Совета директоров, в том числе среди компаний топливно-энергетического комплекса. Консультант и члены его команды (эксперты), оказывая ПАО «ОГК-2» услуги по проведению оценки деятельности Совета директоров и его Комитетов, действуют независимо от Общества и его аффилированных лиц, соблюдая нормы профессиональной этики.</w:t>
      </w:r>
    </w:p>
    <w:p w:rsidR="00C81778" w:rsidRDefault="00AB0D4E">
      <w:pPr>
        <w:spacing w:after="0" w:line="276" w:lineRule="auto"/>
        <w:ind w:firstLine="360"/>
        <w:jc w:val="both"/>
        <w:rPr>
          <w:rFonts w:eastAsia="Calibri" w:cstheme="minorHAnsi"/>
        </w:rPr>
      </w:pPr>
      <w:r>
        <w:rPr>
          <w:rFonts w:eastAsia="Calibri" w:cstheme="minorHAnsi"/>
        </w:rPr>
        <w:t>Методика проведения независимой оценки деятельности Совета директоров и его Комитетов включала следующие компоненты:</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общий анализ внутренних документов, регламентирующих вопросы деятельности Совета директоров, Комитетов Совета директоров, а также иных документов Общества, публикуемых в открытом доступе и предоставленных Обществом по запросу;</w:t>
      </w:r>
    </w:p>
    <w:p w:rsidR="00C81778" w:rsidRDefault="00AB0D4E">
      <w:pPr>
        <w:numPr>
          <w:ilvl w:val="0"/>
          <w:numId w:val="13"/>
        </w:numPr>
        <w:spacing w:after="120" w:line="276" w:lineRule="auto"/>
        <w:ind w:left="714" w:hanging="357"/>
        <w:contextualSpacing/>
        <w:jc w:val="both"/>
        <w:rPr>
          <w:rFonts w:eastAsia="Calibri" w:cstheme="minorHAnsi"/>
        </w:rPr>
      </w:pPr>
      <w:r>
        <w:rPr>
          <w:rFonts w:eastAsia="Calibri" w:cstheme="minorHAnsi"/>
        </w:rPr>
        <w:t>анкетирование (опрос) членов Совета директоров и Комитетов Совета директоров;</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интервьюирование (выборочное).</w:t>
      </w:r>
    </w:p>
    <w:p w:rsidR="00C81778" w:rsidRDefault="00AB0D4E">
      <w:pPr>
        <w:spacing w:after="0" w:line="276" w:lineRule="auto"/>
        <w:jc w:val="both"/>
        <w:rPr>
          <w:rFonts w:eastAsia="Calibri" w:cstheme="minorHAnsi"/>
        </w:rPr>
      </w:pPr>
      <w:r>
        <w:rPr>
          <w:rFonts w:eastAsia="Calibri" w:cstheme="minorHAnsi"/>
        </w:rPr>
        <w:t>Респондентам для заполнения были направлены анкеты, предполагающие оценку респондентами:</w:t>
      </w:r>
    </w:p>
    <w:p w:rsidR="00C81778" w:rsidRDefault="00AB0D4E">
      <w:pPr>
        <w:numPr>
          <w:ilvl w:val="0"/>
          <w:numId w:val="14"/>
        </w:numPr>
        <w:spacing w:after="200" w:line="276" w:lineRule="auto"/>
        <w:contextualSpacing/>
        <w:jc w:val="both"/>
        <w:rPr>
          <w:rFonts w:eastAsia="Calibri" w:cstheme="minorHAnsi"/>
        </w:rPr>
      </w:pPr>
      <w:r>
        <w:rPr>
          <w:rFonts w:eastAsia="Calibri" w:cstheme="minorHAnsi"/>
        </w:rPr>
        <w:t>Совета директоров как органа управления в целом;</w:t>
      </w:r>
    </w:p>
    <w:p w:rsidR="00C81778" w:rsidRDefault="00AB0D4E">
      <w:pPr>
        <w:numPr>
          <w:ilvl w:val="0"/>
          <w:numId w:val="14"/>
        </w:numPr>
        <w:spacing w:after="200" w:line="276" w:lineRule="auto"/>
        <w:contextualSpacing/>
        <w:jc w:val="both"/>
        <w:rPr>
          <w:rFonts w:eastAsia="Calibri" w:cstheme="minorHAnsi"/>
        </w:rPr>
      </w:pPr>
      <w:r>
        <w:rPr>
          <w:rFonts w:eastAsia="Calibri" w:cstheme="minorHAnsi"/>
        </w:rPr>
        <w:t>Председателя Совета директоров;</w:t>
      </w:r>
    </w:p>
    <w:p w:rsidR="00C81778" w:rsidRDefault="00AB0D4E">
      <w:pPr>
        <w:numPr>
          <w:ilvl w:val="0"/>
          <w:numId w:val="14"/>
        </w:numPr>
        <w:spacing w:after="200" w:line="276" w:lineRule="auto"/>
        <w:contextualSpacing/>
        <w:jc w:val="both"/>
        <w:rPr>
          <w:rFonts w:eastAsia="Calibri" w:cstheme="minorHAnsi"/>
        </w:rPr>
      </w:pPr>
      <w:r>
        <w:rPr>
          <w:rFonts w:eastAsia="Calibri" w:cstheme="minorHAnsi"/>
        </w:rPr>
        <w:t>членов Совета директоров (индивидуальную оценку);</w:t>
      </w:r>
    </w:p>
    <w:p w:rsidR="00C81778" w:rsidRDefault="00AB0D4E">
      <w:pPr>
        <w:numPr>
          <w:ilvl w:val="0"/>
          <w:numId w:val="14"/>
        </w:numPr>
        <w:spacing w:after="200" w:line="276" w:lineRule="auto"/>
        <w:contextualSpacing/>
        <w:jc w:val="both"/>
        <w:rPr>
          <w:rFonts w:eastAsia="Calibri" w:cstheme="minorHAnsi"/>
        </w:rPr>
      </w:pPr>
      <w:r>
        <w:rPr>
          <w:rFonts w:eastAsia="Calibri" w:cstheme="minorHAnsi"/>
        </w:rPr>
        <w:t>Комитетов Совета директоров.</w:t>
      </w:r>
    </w:p>
    <w:p w:rsidR="00C81778" w:rsidRDefault="00AB0D4E">
      <w:pPr>
        <w:spacing w:after="120" w:line="276" w:lineRule="auto"/>
        <w:ind w:firstLine="360"/>
        <w:jc w:val="both"/>
        <w:rPr>
          <w:rFonts w:eastAsia="Calibri" w:cstheme="minorHAnsi"/>
        </w:rPr>
      </w:pPr>
      <w:r>
        <w:rPr>
          <w:rFonts w:eastAsia="Calibri" w:cstheme="minorHAnsi"/>
        </w:rPr>
        <w:t>По результатам анкетирования был проведены выборочные интервью.</w:t>
      </w:r>
    </w:p>
    <w:p w:rsidR="00C81778" w:rsidRDefault="00AB0D4E">
      <w:pPr>
        <w:spacing w:after="120" w:line="276" w:lineRule="auto"/>
        <w:ind w:firstLine="360"/>
        <w:jc w:val="both"/>
        <w:rPr>
          <w:rFonts w:eastAsia="Calibri" w:cstheme="minorHAnsi"/>
        </w:rPr>
      </w:pPr>
      <w:r>
        <w:rPr>
          <w:rFonts w:eastAsia="Calibri" w:cstheme="minorHAnsi"/>
        </w:rPr>
        <w:t>По итогам проведенной оценки работы Совета директоров и его Комитетов консультантом сделан вывод о том, что деятельность Совета директоров и Комитетов Совета директоров хорошо организована и соответствует стратегическим принципам Общества и ключевым рекомендациям Кодекса корпоративного управления (рекомендован к применению…реквизиты документа). Структура Совета директоров и его Комитетов полностью соответствует потребностям Общества, его масштабу и уровню сложности бизнеса. Также система корпоративного управления Общества в точности соответствует законодательству Российской Федерации, по ряду признаков соответствует лучшим практикам корпоративного управления в ведущих российских компаниях.</w:t>
      </w:r>
    </w:p>
    <w:p w:rsidR="00C81778" w:rsidRDefault="00AB0D4E">
      <w:pPr>
        <w:spacing w:after="0" w:line="276" w:lineRule="auto"/>
        <w:ind w:firstLine="360"/>
        <w:jc w:val="both"/>
        <w:rPr>
          <w:rFonts w:eastAsia="Calibri" w:cstheme="minorHAnsi"/>
        </w:rPr>
      </w:pPr>
      <w:r>
        <w:rPr>
          <w:rFonts w:eastAsia="Calibri" w:cstheme="minorHAnsi"/>
        </w:rPr>
        <w:t>Результаты оценки работы Совета директоров и его членов учитываются при организации деятельности органов управления, а также в рамках совершенствования практики корпоративного управления в Обществе:</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при распределении полномочий и функций среди членов Совета директоров (в целях более глубокого изучения и экспертизы материалов);</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при формировании персональных составов Комитетов Совета директоров;</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в рамках процесса выдвижения кандидатур для избрания нового состава Совета директоров при подготовке к годовому Общему собранию акционеров.</w:t>
      </w:r>
    </w:p>
    <w:p w:rsidR="00C81778" w:rsidRDefault="00AB0D4E">
      <w:pPr>
        <w:spacing w:after="120" w:line="276" w:lineRule="auto"/>
        <w:ind w:firstLine="360"/>
        <w:jc w:val="both"/>
        <w:rPr>
          <w:rFonts w:eastAsia="Calibri" w:cstheme="minorHAnsi"/>
        </w:rPr>
      </w:pPr>
      <w:r>
        <w:rPr>
          <w:rFonts w:eastAsia="Calibri" w:cstheme="minorHAnsi"/>
        </w:rPr>
        <w:t xml:space="preserve">По итогам проведенной оценки работы Совета директоров и его Комитетов за 2023-2024 корпоративный год подготовлен отчет, рассмотренный Советом директоров Общества 26.04.2024 (Протокол заседания Совета директоров ПАО «ОГК-2» от 26.04.2024 №319). </w:t>
      </w:r>
    </w:p>
    <w:p w:rsidR="00C81778" w:rsidRDefault="00AB0D4E">
      <w:pPr>
        <w:spacing w:after="0" w:line="276" w:lineRule="auto"/>
        <w:ind w:firstLine="360"/>
        <w:jc w:val="both"/>
        <w:rPr>
          <w:rFonts w:eastAsia="Calibri" w:cstheme="minorHAnsi"/>
        </w:rPr>
      </w:pPr>
      <w:r>
        <w:rPr>
          <w:rFonts w:eastAsia="Calibri" w:cstheme="minorHAnsi"/>
        </w:rPr>
        <w:t>Согласно отчету, консультантом представлен ряд рекомендаций по улучшению работы Совета директоров и его Комитетов, которые возможно реализовать в 2024-2025 корпоративном году, в том числе:</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Рассмотреть возможность повышения участия членов Совета директоров и независимых членов Совета директоров в составах Комитетов;</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lastRenderedPageBreak/>
        <w:t>Рассмотреть возможность проведения очных заседаний Совета директоров и Комитетов с использованием видеоконференцсвязи;</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Определить состав, структуру и требования к содержанию годовых отчётов ряда Комитетов;</w:t>
      </w:r>
    </w:p>
    <w:p w:rsidR="00C81778" w:rsidRDefault="00AB0D4E">
      <w:pPr>
        <w:numPr>
          <w:ilvl w:val="0"/>
          <w:numId w:val="13"/>
        </w:numPr>
        <w:spacing w:after="200" w:line="276" w:lineRule="auto"/>
        <w:contextualSpacing/>
        <w:jc w:val="both"/>
        <w:rPr>
          <w:rFonts w:eastAsia="Calibri" w:cstheme="minorHAnsi"/>
        </w:rPr>
      </w:pPr>
      <w:r>
        <w:rPr>
          <w:rFonts w:eastAsia="Calibri" w:cstheme="minorHAnsi"/>
        </w:rPr>
        <w:t>Определить требования к составу и содержанию материалов, предоставляемых Комитетам.</w:t>
      </w:r>
    </w:p>
    <w:p w:rsidR="00C81778" w:rsidRDefault="00C81778">
      <w:pPr>
        <w:spacing w:after="0" w:line="276" w:lineRule="auto"/>
        <w:ind w:firstLine="360"/>
        <w:jc w:val="both"/>
        <w:rPr>
          <w:rFonts w:eastAsia="Calibri" w:cstheme="minorHAnsi"/>
        </w:rPr>
      </w:pPr>
    </w:p>
    <w:p w:rsidR="00C81778" w:rsidRDefault="00AB0D4E">
      <w:pPr>
        <w:spacing w:after="0" w:line="276" w:lineRule="auto"/>
        <w:ind w:firstLine="360"/>
        <w:jc w:val="both"/>
        <w:rPr>
          <w:rFonts w:eastAsia="Calibri" w:cstheme="minorHAnsi"/>
        </w:rPr>
      </w:pPr>
      <w:r>
        <w:rPr>
          <w:rFonts w:eastAsia="Calibri" w:cstheme="minorHAnsi"/>
        </w:rPr>
        <w:t>Кроме того, консультант разработал методику проведения ежегодной самооценки деятельности Совета директоров и его Комитетов, включая методические указания и рекомендации.</w:t>
      </w:r>
    </w:p>
    <w:p w:rsidR="00C81778" w:rsidRDefault="00C81778">
      <w:pPr>
        <w:rPr>
          <w:rFonts w:cstheme="minorHAnsi"/>
        </w:rPr>
      </w:pP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bookmarkStart w:id="31" w:name="_Toc129307814"/>
      <w:r>
        <w:rPr>
          <w:rFonts w:asciiTheme="minorHAnsi" w:eastAsiaTheme="majorEastAsia" w:hAnsiTheme="minorHAnsi" w:cstheme="minorHAnsi"/>
          <w:color w:val="1F3763" w:themeColor="accent1" w:themeShade="7F"/>
          <w:sz w:val="22"/>
          <w:szCs w:val="22"/>
        </w:rPr>
        <w:t>Корпоративный секретарь</w:t>
      </w:r>
      <w:bookmarkEnd w:id="31"/>
    </w:p>
    <w:p w:rsidR="00C81778" w:rsidRDefault="00AB0D4E">
      <w:pPr>
        <w:ind w:firstLine="709"/>
        <w:jc w:val="both"/>
        <w:rPr>
          <w:rFonts w:eastAsia="Times New Roman" w:cstheme="minorHAnsi"/>
        </w:rPr>
      </w:pPr>
      <w:r>
        <w:rPr>
          <w:rFonts w:eastAsia="Times New Roman" w:cstheme="minorHAnsi"/>
        </w:rPr>
        <w:t xml:space="preserve">Корпоративный секретарь ПАО «ОГК-2» назначен решением Совета директоров от 30.09.2016 (протокол Совета директоров от 30.09.2016 №154). </w:t>
      </w:r>
    </w:p>
    <w:p w:rsidR="00C81778" w:rsidRDefault="00AB0D4E">
      <w:pPr>
        <w:ind w:firstLine="709"/>
        <w:jc w:val="both"/>
        <w:rPr>
          <w:rFonts w:eastAsia="Times New Roman" w:cstheme="minorHAnsi"/>
        </w:rPr>
      </w:pPr>
      <w:r>
        <w:rPr>
          <w:rFonts w:eastAsia="Times New Roman" w:cstheme="minorHAnsi"/>
        </w:rPr>
        <w:t>Образование: высшее, Удмуртский государственный университет.</w:t>
      </w:r>
    </w:p>
    <w:p w:rsidR="00C81778" w:rsidRDefault="00AB0D4E">
      <w:pPr>
        <w:spacing w:before="120" w:after="0" w:line="240" w:lineRule="auto"/>
        <w:ind w:firstLine="708"/>
        <w:jc w:val="both"/>
        <w:rPr>
          <w:rFonts w:eastAsia="Times New Roman" w:cstheme="minorHAnsi"/>
        </w:rPr>
      </w:pPr>
      <w:r>
        <w:rPr>
          <w:rFonts w:eastAsia="Times New Roman" w:cstheme="minorHAnsi"/>
        </w:rPr>
        <w:t xml:space="preserve">Место работы в настоящее время: заместитель директора по правовой и корпоративной работе ООО «Газпром </w:t>
      </w:r>
      <w:proofErr w:type="spellStart"/>
      <w:r>
        <w:rPr>
          <w:rFonts w:eastAsia="Times New Roman" w:cstheme="minorHAnsi"/>
        </w:rPr>
        <w:t>энергохолдинг</w:t>
      </w:r>
      <w:proofErr w:type="spellEnd"/>
      <w:r>
        <w:rPr>
          <w:rFonts w:eastAsia="Times New Roman" w:cstheme="minorHAnsi"/>
        </w:rPr>
        <w:t xml:space="preserve">». Также является корпоративным секретарем в                                      ПАО «Мосэнерго» и секретарем Совета директоров в ПАО «МОЭК». </w:t>
      </w:r>
    </w:p>
    <w:p w:rsidR="00C81778" w:rsidRDefault="00C81778">
      <w:pPr>
        <w:ind w:firstLine="709"/>
        <w:jc w:val="both"/>
        <w:rPr>
          <w:rFonts w:eastAsia="Times New Roman" w:cstheme="minorHAnsi"/>
        </w:rPr>
      </w:pPr>
    </w:p>
    <w:p w:rsidR="00C81778" w:rsidRDefault="00AB0D4E">
      <w:pPr>
        <w:ind w:firstLine="709"/>
        <w:jc w:val="both"/>
        <w:rPr>
          <w:rFonts w:eastAsia="Times New Roman" w:cstheme="minorHAnsi"/>
        </w:rPr>
      </w:pPr>
      <w:r>
        <w:rPr>
          <w:rFonts w:eastAsia="Times New Roman" w:cstheme="minorHAnsi"/>
        </w:rPr>
        <w:t xml:space="preserve">К компетенции Корпоративного секретаря относится: </w:t>
      </w:r>
    </w:p>
    <w:p w:rsidR="00C81778" w:rsidRDefault="00AB0D4E">
      <w:pPr>
        <w:ind w:firstLine="709"/>
        <w:jc w:val="both"/>
        <w:rPr>
          <w:rFonts w:eastAsia="Times New Roman" w:cstheme="minorHAnsi"/>
        </w:rPr>
      </w:pPr>
      <w:r>
        <w:rPr>
          <w:rFonts w:eastAsia="Times New Roman" w:cstheme="minorHAnsi"/>
        </w:rPr>
        <w:t xml:space="preserve">- обеспечение функционирования механизмов реализации прав и обеспечения интересов акционеров, включая соблюдение порядка проведения Общего собрания акционеров; </w:t>
      </w:r>
    </w:p>
    <w:p w:rsidR="00C81778" w:rsidRDefault="00AB0D4E">
      <w:pPr>
        <w:ind w:firstLine="709"/>
        <w:jc w:val="both"/>
        <w:rPr>
          <w:rFonts w:eastAsia="Times New Roman" w:cstheme="minorHAnsi"/>
        </w:rPr>
      </w:pPr>
      <w:r>
        <w:rPr>
          <w:rFonts w:eastAsia="Times New Roman" w:cstheme="minorHAnsi"/>
        </w:rPr>
        <w:t>- выполнение функции секретаря Общего собрания акционеров и Совета директоров Общества;</w:t>
      </w:r>
    </w:p>
    <w:p w:rsidR="00C81778" w:rsidRDefault="00AB0D4E">
      <w:pPr>
        <w:ind w:firstLine="709"/>
        <w:jc w:val="both"/>
        <w:rPr>
          <w:rFonts w:eastAsia="Times New Roman" w:cstheme="minorHAnsi"/>
        </w:rPr>
      </w:pPr>
      <w:r>
        <w:rPr>
          <w:rFonts w:eastAsia="Times New Roman" w:cstheme="minorHAnsi"/>
        </w:rPr>
        <w:t>- организация деятельности органов управления и контроля, а также взаимодействие Совета директоров и руководства Общества;</w:t>
      </w:r>
    </w:p>
    <w:p w:rsidR="00C81778" w:rsidRDefault="00AB0D4E">
      <w:pPr>
        <w:ind w:firstLine="709"/>
        <w:jc w:val="both"/>
        <w:rPr>
          <w:rFonts w:eastAsia="Times New Roman" w:cstheme="minorHAnsi"/>
        </w:rPr>
      </w:pPr>
      <w:r>
        <w:rPr>
          <w:rFonts w:eastAsia="Times New Roman" w:cstheme="minorHAnsi"/>
        </w:rPr>
        <w:t>- обеспечение хранения, раскрытия и предоставления информации об Обществе; выполняет работу по поддержанию корпоративных традиций, урегулированию споров и конфликтов;</w:t>
      </w:r>
    </w:p>
    <w:p w:rsidR="00C81778" w:rsidRDefault="00AB0D4E">
      <w:pPr>
        <w:ind w:firstLine="709"/>
        <w:jc w:val="both"/>
        <w:rPr>
          <w:rFonts w:eastAsia="Times New Roman" w:cstheme="minorHAnsi"/>
        </w:rPr>
      </w:pPr>
      <w:r>
        <w:rPr>
          <w:rFonts w:eastAsia="Times New Roman" w:cstheme="minorHAnsi"/>
        </w:rPr>
        <w:t xml:space="preserve">- контроль за соблюдением интересов Общества, в том числе при взаимодействии с Банком России и органами власти. </w:t>
      </w:r>
    </w:p>
    <w:p w:rsidR="00C81778" w:rsidRDefault="00AB0D4E">
      <w:pPr>
        <w:ind w:firstLine="708"/>
        <w:jc w:val="both"/>
        <w:rPr>
          <w:rFonts w:eastAsia="Times New Roman" w:cstheme="minorHAnsi"/>
        </w:rPr>
      </w:pPr>
      <w:r>
        <w:rPr>
          <w:rFonts w:eastAsia="Times New Roman" w:cstheme="minorHAnsi"/>
        </w:rPr>
        <w:t>В Обществе действует Положение о Корпоративном секретаре, утвержденное решением Совета директоров ПАО «ОГК-2» (протокол Совета директоров от 31.08.2022 №283), в котором закреплены основные функции Корпоративного секретаря. Помимо Корпоративного секретаря, реализацию задач в сфере корпоративного управления в Обществе осуществляет Управление по корпоративным и имущественным отношениям.</w:t>
      </w:r>
    </w:p>
    <w:p w:rsidR="00C81778" w:rsidRDefault="00C81778">
      <w:pPr>
        <w:rPr>
          <w:rFonts w:cstheme="minorHAnsi"/>
        </w:rPr>
      </w:pPr>
    </w:p>
    <w:p w:rsidR="00C81778" w:rsidRDefault="00AB0D4E">
      <w:pPr>
        <w:pBdr>
          <w:top w:val="single" w:sz="4" w:space="1" w:color="000000"/>
          <w:left w:val="single" w:sz="4" w:space="4" w:color="000000"/>
          <w:bottom w:val="single" w:sz="4" w:space="1" w:color="000000"/>
          <w:right w:val="single" w:sz="4" w:space="4" w:color="000000"/>
        </w:pBdr>
        <w:shd w:val="clear" w:color="auto" w:fill="FFF2CC" w:themeFill="accent4" w:themeFillTint="33"/>
        <w:jc w:val="both"/>
        <w:rPr>
          <w:rFonts w:cstheme="minorHAnsi"/>
        </w:rPr>
      </w:pPr>
      <w:r>
        <w:rPr>
          <w:rFonts w:cstheme="minorHAnsi"/>
        </w:rPr>
        <w:t>С дивидендной политикой</w:t>
      </w:r>
      <w:r>
        <w:rPr>
          <w:rStyle w:val="af0"/>
          <w:rFonts w:cstheme="minorHAnsi"/>
        </w:rPr>
        <w:footnoteReference w:id="4"/>
      </w:r>
      <w:r>
        <w:rPr>
          <w:rFonts w:cstheme="minorHAnsi"/>
        </w:rPr>
        <w:t xml:space="preserve"> Общества можно ознакомиться на официальном сайте Компании: </w:t>
      </w:r>
      <w:hyperlink r:id="rId30" w:tooltip="https://www.ogk2.ru/aktsioneram-i-investoram/informatsiya-dlya-aktsionerov/dividendy/" w:history="1">
        <w:r>
          <w:rPr>
            <w:rStyle w:val="af8"/>
            <w:rFonts w:cstheme="minorHAnsi"/>
          </w:rPr>
          <w:t>https://www.ogk2.ru/aktsioneram-i-investoram/informatsiya-dlya-aktsionerov/dividendy/</w:t>
        </w:r>
      </w:hyperlink>
      <w:r>
        <w:rPr>
          <w:rFonts w:cstheme="minorHAnsi"/>
        </w:rPr>
        <w:t xml:space="preserve"> </w:t>
      </w:r>
    </w:p>
    <w:p w:rsidR="00C81778" w:rsidRDefault="00C81778">
      <w:pPr>
        <w:rPr>
          <w:rFonts w:cstheme="minorHAnsi"/>
        </w:rPr>
      </w:pPr>
    </w:p>
    <w:p w:rsidR="00C81778" w:rsidRDefault="00AB0D4E">
      <w:pPr>
        <w:pStyle w:val="31"/>
        <w:keepLines/>
        <w:spacing w:before="40" w:after="0" w:line="276" w:lineRule="auto"/>
        <w:rPr>
          <w:rFonts w:asciiTheme="minorHAnsi" w:eastAsiaTheme="majorEastAsia" w:hAnsiTheme="minorHAnsi" w:cstheme="minorHAnsi"/>
          <w:color w:val="1F3763" w:themeColor="accent1" w:themeShade="7F"/>
          <w:sz w:val="22"/>
          <w:szCs w:val="22"/>
        </w:rPr>
      </w:pPr>
      <w:bookmarkStart w:id="32" w:name="_Toc129307815"/>
      <w:r>
        <w:rPr>
          <w:rFonts w:asciiTheme="minorHAnsi" w:eastAsiaTheme="majorEastAsia" w:hAnsiTheme="minorHAnsi" w:cstheme="minorHAnsi"/>
          <w:color w:val="1F3763" w:themeColor="accent1" w:themeShade="7F"/>
          <w:sz w:val="22"/>
          <w:szCs w:val="22"/>
        </w:rPr>
        <w:lastRenderedPageBreak/>
        <w:t>Страхование ответственности членов Совета директоров</w:t>
      </w:r>
      <w:bookmarkEnd w:id="32"/>
    </w:p>
    <w:p w:rsidR="00C81778" w:rsidRDefault="00AB0D4E">
      <w:pPr>
        <w:spacing w:before="120" w:after="0" w:line="240" w:lineRule="auto"/>
        <w:jc w:val="both"/>
        <w:rPr>
          <w:rFonts w:eastAsia="Times New Roman" w:cstheme="minorHAnsi"/>
        </w:rPr>
      </w:pPr>
      <w:r>
        <w:rPr>
          <w:rFonts w:eastAsia="Times New Roman" w:cstheme="minorHAnsi"/>
        </w:rPr>
        <w:t xml:space="preserve">ПАО «ОГК-2» осуществляет страхование ответственности членов Совета директоров Общества. Страхование направлено на возмещение потенциального ущерба в результате непреднамеренных ошибочных действий (бездействия) застрахованных лиц при осуществлении ими своих функций. </w:t>
      </w:r>
    </w:p>
    <w:p w:rsidR="00C81778" w:rsidRDefault="00C81778">
      <w:pPr>
        <w:spacing w:before="120" w:after="0" w:line="240" w:lineRule="auto"/>
        <w:jc w:val="both"/>
        <w:rPr>
          <w:rFonts w:eastAsia="Times New Roman" w:cstheme="minorHAnsi"/>
        </w:rPr>
      </w:pPr>
    </w:p>
    <w:p w:rsidR="00C81778" w:rsidRDefault="00C81778">
      <w:pPr>
        <w:rPr>
          <w:rFonts w:cstheme="minorHAnsi"/>
        </w:rPr>
      </w:pPr>
    </w:p>
    <w:p w:rsidR="00C81778" w:rsidRDefault="00AB0D4E">
      <w:pPr>
        <w:pStyle w:val="21"/>
        <w:keepLines/>
        <w:spacing w:after="0" w:line="276" w:lineRule="auto"/>
        <w:rPr>
          <w:rFonts w:asciiTheme="minorHAnsi" w:eastAsiaTheme="majorEastAsia" w:hAnsiTheme="minorHAnsi" w:cstheme="minorHAnsi"/>
          <w:color w:val="2F5496" w:themeColor="accent1" w:themeShade="BF"/>
          <w:sz w:val="22"/>
          <w:szCs w:val="22"/>
        </w:rPr>
      </w:pPr>
      <w:bookmarkStart w:id="33" w:name="_Toc131707825"/>
      <w:r>
        <w:rPr>
          <w:rFonts w:asciiTheme="minorHAnsi" w:eastAsiaTheme="majorEastAsia" w:hAnsiTheme="minorHAnsi" w:cstheme="minorHAnsi"/>
          <w:color w:val="2F5496" w:themeColor="accent1" w:themeShade="BF"/>
          <w:sz w:val="22"/>
          <w:szCs w:val="22"/>
        </w:rPr>
        <w:t>4.2. Отчет о соблюдении принципов и рекомендаций Кодекса корпоративного управления</w:t>
      </w:r>
      <w:bookmarkEnd w:id="33"/>
    </w:p>
    <w:p w:rsidR="00C81778" w:rsidRDefault="00C81778">
      <w:pPr>
        <w:spacing w:before="120" w:after="0" w:line="240" w:lineRule="auto"/>
        <w:jc w:val="both"/>
        <w:rPr>
          <w:rFonts w:eastAsia="Times New Roman" w:cstheme="minorHAnsi"/>
        </w:rPr>
      </w:pPr>
    </w:p>
    <w:tbl>
      <w:tblPr>
        <w:tblW w:w="9345" w:type="dxa"/>
        <w:tblLayout w:type="fixed"/>
        <w:tblLook w:val="04A0" w:firstRow="1" w:lastRow="0" w:firstColumn="1" w:lastColumn="0" w:noHBand="0" w:noVBand="1"/>
      </w:tblPr>
      <w:tblGrid>
        <w:gridCol w:w="9345"/>
      </w:tblGrid>
      <w:tr w:rsidR="00C81778">
        <w:tc>
          <w:tcPr>
            <w:tcW w:w="9345" w:type="dxa"/>
          </w:tcPr>
          <w:p w:rsidR="00C81778" w:rsidRDefault="00AB0D4E">
            <w:pPr>
              <w:spacing w:before="120" w:after="0" w:line="240" w:lineRule="auto"/>
              <w:jc w:val="both"/>
              <w:rPr>
                <w:rFonts w:eastAsia="Times New Roman" w:cstheme="minorHAnsi"/>
                <w:b/>
              </w:rPr>
            </w:pPr>
            <w:r>
              <w:rPr>
                <w:rFonts w:eastAsia="Times New Roman" w:cstheme="minorHAnsi"/>
                <w:b/>
              </w:rPr>
              <w:t>Заявление Совета директоров ПАО «ОГК-2»</w:t>
            </w:r>
          </w:p>
          <w:p w:rsidR="00C81778" w:rsidRDefault="00AB0D4E">
            <w:pPr>
              <w:spacing w:before="120" w:after="0" w:line="240" w:lineRule="auto"/>
              <w:jc w:val="both"/>
              <w:rPr>
                <w:rFonts w:eastAsia="Times New Roman" w:cstheme="minorHAnsi"/>
              </w:rPr>
            </w:pPr>
            <w:r>
              <w:rPr>
                <w:rFonts w:eastAsia="Times New Roman" w:cstheme="minorHAnsi"/>
              </w:rPr>
              <w:t>Настоящий отчет о соблюдении принципов и рекомендаций Кодекса корпоративного управления рассмотрен Советом директоров ПАО «ОГК-2» на заседании _</w:t>
            </w:r>
            <w:proofErr w:type="gramStart"/>
            <w:r>
              <w:rPr>
                <w:rFonts w:eastAsia="Times New Roman" w:cstheme="minorHAnsi"/>
              </w:rPr>
              <w:t>_._</w:t>
            </w:r>
            <w:proofErr w:type="gramEnd"/>
            <w:r>
              <w:rPr>
                <w:rFonts w:eastAsia="Times New Roman" w:cstheme="minorHAnsi"/>
              </w:rPr>
              <w:t>_.2024 (протокол от __.__.2024 №__).</w:t>
            </w:r>
          </w:p>
          <w:p w:rsidR="00C81778" w:rsidRDefault="00AB0D4E">
            <w:pPr>
              <w:spacing w:before="120" w:after="0" w:line="240" w:lineRule="auto"/>
              <w:jc w:val="both"/>
              <w:rPr>
                <w:rFonts w:eastAsia="Times New Roman" w:cstheme="minorHAnsi"/>
              </w:rPr>
            </w:pPr>
            <w:r>
              <w:rPr>
                <w:rFonts w:eastAsia="Times New Roman" w:cstheme="minorHAnsi"/>
              </w:rPr>
              <w:t>Совет директоров ПАО «ОГК-2» подтверждает, что приведенные в настоящем отчете данные содержат полную и достоверную информацию о соблюдении Обществом принципов и рекомендаций Кодекса корпоративного управления за 2023 год.</w:t>
            </w:r>
          </w:p>
        </w:tc>
      </w:tr>
    </w:tbl>
    <w:p w:rsidR="00C81778" w:rsidRDefault="00C81778">
      <w:pPr>
        <w:spacing w:before="120" w:after="0" w:line="240" w:lineRule="auto"/>
        <w:jc w:val="both"/>
        <w:rPr>
          <w:rFonts w:eastAsia="Times New Roman" w:cstheme="minorHAnsi"/>
        </w:rPr>
      </w:pPr>
    </w:p>
    <w:p w:rsidR="00C81778" w:rsidRDefault="00AB0D4E">
      <w:pPr>
        <w:spacing w:before="120" w:after="0" w:line="240" w:lineRule="auto"/>
        <w:jc w:val="both"/>
        <w:rPr>
          <w:rFonts w:cstheme="minorHAnsi"/>
        </w:rPr>
        <w:sectPr w:rsidR="00C81778">
          <w:footerReference w:type="default" r:id="rId31"/>
          <w:footerReference w:type="first" r:id="rId32"/>
          <w:pgSz w:w="11906" w:h="16838"/>
          <w:pgMar w:top="1134" w:right="850" w:bottom="1134" w:left="1701" w:header="0" w:footer="708" w:gutter="0"/>
          <w:cols w:space="1701"/>
          <w:docGrid w:linePitch="360"/>
        </w:sectPr>
      </w:pPr>
      <w:r>
        <w:rPr>
          <w:rFonts w:eastAsia="Times New Roman" w:cstheme="minorHAnsi"/>
        </w:rPr>
        <w:t>Уровень соблюдения Кодекса корпоративного управления связан с решением Общества ограничить ряд информации согласно пп.1 Постановления Правительства РФ от 12 марта 2022 г. № 351 и п.1 (</w:t>
      </w:r>
      <w:proofErr w:type="spellStart"/>
      <w:r>
        <w:rPr>
          <w:rFonts w:eastAsia="Times New Roman" w:cstheme="minorHAnsi"/>
        </w:rPr>
        <w:t>абз</w:t>
      </w:r>
      <w:proofErr w:type="spellEnd"/>
      <w:r>
        <w:rPr>
          <w:rFonts w:eastAsia="Times New Roman" w:cstheme="minorHAnsi"/>
        </w:rPr>
        <w:t>. 2) Постановления Правительства РФ от 04 июля 2023 г. № 1102 в связи с тем, что существует риск введения мер ограничительного характера против эмитента/лиц, входящих в состав органов управления эмитента со стороны иностранных государств.</w:t>
      </w:r>
    </w:p>
    <w:p w:rsidR="00C81778" w:rsidRDefault="00C81778">
      <w:pPr>
        <w:rPr>
          <w:rFonts w:eastAsia="Calibri" w:cstheme="minorHAnsi"/>
        </w:rPr>
      </w:pPr>
      <w:bookmarkStart w:id="34" w:name="P819"/>
      <w:bookmarkStart w:id="35" w:name="P818"/>
      <w:bookmarkStart w:id="36" w:name="P817"/>
      <w:bookmarkStart w:id="37" w:name="P816"/>
      <w:bookmarkStart w:id="38" w:name="P815"/>
      <w:bookmarkEnd w:id="34"/>
      <w:bookmarkEnd w:id="35"/>
      <w:bookmarkEnd w:id="36"/>
      <w:bookmarkEnd w:id="37"/>
      <w:bookmarkEnd w:id="38"/>
    </w:p>
    <w:p w:rsidR="00C81778" w:rsidRDefault="00AB0D4E">
      <w:pPr>
        <w:shd w:val="clear" w:color="auto" w:fill="FFFFFF"/>
        <w:spacing w:before="120" w:after="0" w:line="240" w:lineRule="auto"/>
        <w:jc w:val="both"/>
        <w:rPr>
          <w:rFonts w:eastAsia="Calibri" w:cstheme="minorHAnsi"/>
        </w:rPr>
      </w:pPr>
      <w:r>
        <w:rPr>
          <w:rFonts w:eastAsia="Calibri" w:cstheme="minorHAnsi"/>
        </w:rPr>
        <w:t>Совет директоров ОГК-2 подтверждает, что приведенные в настоящем отчете данные содержат полную и достоверную информацию о соблюдении Обществом принципов и рекомендаций Кодекса корпоративного управления за 2023 г.</w:t>
      </w:r>
    </w:p>
    <w:p w:rsidR="00C81778" w:rsidRDefault="00C81778">
      <w:pPr>
        <w:pStyle w:val="1"/>
        <w:keepLines/>
        <w:spacing w:after="0" w:line="276" w:lineRule="auto"/>
        <w:jc w:val="left"/>
        <w:rPr>
          <w:rFonts w:asciiTheme="minorHAnsi" w:eastAsiaTheme="majorEastAsia" w:hAnsiTheme="minorHAnsi" w:cstheme="minorHAnsi"/>
          <w:color w:val="2F5496" w:themeColor="accent1" w:themeShade="BF"/>
          <w:sz w:val="22"/>
          <w:szCs w:val="22"/>
          <w:lang w:val="ru-RU" w:eastAsia="ru-RU"/>
        </w:rPr>
      </w:pPr>
    </w:p>
    <w:tbl>
      <w:tblPr>
        <w:tblW w:w="15021" w:type="dxa"/>
        <w:tblLayout w:type="fixed"/>
        <w:tblLook w:val="04A0" w:firstRow="1" w:lastRow="0" w:firstColumn="1" w:lastColumn="0" w:noHBand="0" w:noVBand="1"/>
      </w:tblPr>
      <w:tblGrid>
        <w:gridCol w:w="710"/>
        <w:gridCol w:w="3826"/>
        <w:gridCol w:w="3827"/>
        <w:gridCol w:w="2692"/>
        <w:gridCol w:w="3966"/>
      </w:tblGrid>
      <w:tr w:rsidR="00C81778">
        <w:trPr>
          <w:trHeight w:val="470"/>
        </w:trPr>
        <w:tc>
          <w:tcPr>
            <w:tcW w:w="710" w:type="dxa"/>
            <w:tcBorders>
              <w:top w:val="single" w:sz="4" w:space="0" w:color="4F81BD"/>
              <w:left w:val="single" w:sz="4" w:space="0" w:color="4F81BD"/>
              <w:bottom w:val="single" w:sz="4" w:space="0" w:color="4F81BD"/>
              <w:right w:val="single" w:sz="4" w:space="0" w:color="4F81BD"/>
            </w:tcBorders>
            <w:shd w:val="clear" w:color="auto" w:fill="4F81BD"/>
            <w:vAlign w:val="center"/>
          </w:tcPr>
          <w:p w:rsidR="00C81778" w:rsidRDefault="00AB0D4E">
            <w:pPr>
              <w:widowControl w:val="0"/>
              <w:spacing w:after="200" w:line="276" w:lineRule="auto"/>
              <w:contextualSpacing/>
              <w:jc w:val="center"/>
              <w:rPr>
                <w:rFonts w:ascii="Arial" w:eastAsia="Calibri" w:hAnsi="Arial" w:cs="Times New Roman"/>
                <w:sz w:val="18"/>
              </w:rPr>
            </w:pPr>
            <w:r>
              <w:rPr>
                <w:rFonts w:ascii="Arial" w:eastAsia="Calibri" w:hAnsi="Arial" w:cs="Arial"/>
                <w:b/>
                <w:bCs/>
                <w:color w:val="FFFFFF"/>
                <w:sz w:val="18"/>
                <w:szCs w:val="18"/>
              </w:rPr>
              <w:t>№</w:t>
            </w:r>
          </w:p>
        </w:tc>
        <w:tc>
          <w:tcPr>
            <w:tcW w:w="3826" w:type="dxa"/>
            <w:tcBorders>
              <w:top w:val="single" w:sz="4" w:space="0" w:color="4F81BD"/>
              <w:left w:val="single" w:sz="4" w:space="0" w:color="4F81BD"/>
              <w:bottom w:val="single" w:sz="4" w:space="0" w:color="4F81BD"/>
              <w:right w:val="single" w:sz="4" w:space="0" w:color="4F81BD"/>
            </w:tcBorders>
            <w:shd w:val="clear" w:color="auto" w:fill="4F81BD"/>
            <w:vAlign w:val="center"/>
          </w:tcPr>
          <w:p w:rsidR="00C81778" w:rsidRDefault="00AB0D4E">
            <w:pPr>
              <w:widowControl w:val="0"/>
              <w:spacing w:after="200" w:line="276" w:lineRule="auto"/>
              <w:contextualSpacing/>
              <w:jc w:val="center"/>
              <w:rPr>
                <w:rFonts w:ascii="Arial" w:eastAsia="Calibri" w:hAnsi="Arial" w:cs="Times New Roman"/>
                <w:sz w:val="18"/>
              </w:rPr>
            </w:pPr>
            <w:r>
              <w:rPr>
                <w:rFonts w:ascii="Arial" w:eastAsia="Calibri" w:hAnsi="Arial" w:cs="Times New Roman"/>
                <w:b/>
                <w:bCs/>
                <w:color w:val="FFFFFF"/>
                <w:sz w:val="18"/>
              </w:rPr>
              <w:t>Принципы корпоративного управления</w:t>
            </w:r>
          </w:p>
        </w:tc>
        <w:tc>
          <w:tcPr>
            <w:tcW w:w="3827" w:type="dxa"/>
            <w:tcBorders>
              <w:top w:val="single" w:sz="4" w:space="0" w:color="4F81BD"/>
              <w:left w:val="single" w:sz="4" w:space="0" w:color="4F81BD"/>
              <w:bottom w:val="single" w:sz="4" w:space="0" w:color="4F81BD"/>
              <w:right w:val="single" w:sz="4" w:space="0" w:color="4F81BD"/>
            </w:tcBorders>
            <w:shd w:val="clear" w:color="auto" w:fill="4F81BD"/>
            <w:vAlign w:val="center"/>
          </w:tcPr>
          <w:p w:rsidR="00C81778" w:rsidRDefault="00AB0D4E">
            <w:pPr>
              <w:widowControl w:val="0"/>
              <w:spacing w:after="200" w:line="276" w:lineRule="auto"/>
              <w:contextualSpacing/>
              <w:jc w:val="center"/>
              <w:rPr>
                <w:rFonts w:ascii="Arial" w:eastAsia="Calibri" w:hAnsi="Arial" w:cs="Times New Roman"/>
                <w:sz w:val="18"/>
              </w:rPr>
            </w:pPr>
            <w:r>
              <w:rPr>
                <w:rFonts w:ascii="Arial" w:eastAsia="Calibri" w:hAnsi="Arial" w:cs="Times New Roman"/>
                <w:b/>
                <w:bCs/>
                <w:color w:val="FFFFFF"/>
                <w:sz w:val="18"/>
              </w:rPr>
              <w:t>Критерии оценки соблюдения принципа корпоративного управления</w:t>
            </w:r>
          </w:p>
        </w:tc>
        <w:tc>
          <w:tcPr>
            <w:tcW w:w="2692" w:type="dxa"/>
            <w:tcBorders>
              <w:top w:val="single" w:sz="4" w:space="0" w:color="4F81BD"/>
              <w:left w:val="single" w:sz="4" w:space="0" w:color="4F81BD"/>
              <w:bottom w:val="single" w:sz="4" w:space="0" w:color="4F81BD"/>
              <w:right w:val="single" w:sz="4" w:space="0" w:color="4F81BD"/>
            </w:tcBorders>
            <w:shd w:val="clear" w:color="auto" w:fill="4F81BD"/>
            <w:vAlign w:val="center"/>
          </w:tcPr>
          <w:p w:rsidR="00C81778" w:rsidRDefault="00AB0D4E">
            <w:pPr>
              <w:widowControl w:val="0"/>
              <w:spacing w:after="200" w:line="276" w:lineRule="auto"/>
              <w:contextualSpacing/>
              <w:jc w:val="center"/>
              <w:rPr>
                <w:rFonts w:ascii="Arial" w:eastAsia="Calibri" w:hAnsi="Arial" w:cs="Times New Roman"/>
                <w:sz w:val="18"/>
              </w:rPr>
            </w:pPr>
            <w:r>
              <w:rPr>
                <w:rFonts w:ascii="Arial" w:eastAsia="Calibri" w:hAnsi="Arial" w:cs="Times New Roman"/>
                <w:b/>
                <w:bCs/>
                <w:color w:val="FFFFFF"/>
                <w:sz w:val="18"/>
              </w:rPr>
              <w:t>Статус соответствия принципу корпоративного управления</w:t>
            </w:r>
          </w:p>
        </w:tc>
        <w:tc>
          <w:tcPr>
            <w:tcW w:w="3966" w:type="dxa"/>
            <w:tcBorders>
              <w:top w:val="single" w:sz="4" w:space="0" w:color="4F81BD"/>
              <w:left w:val="single" w:sz="4" w:space="0" w:color="4F81BD"/>
              <w:bottom w:val="single" w:sz="4" w:space="0" w:color="4F81BD"/>
              <w:right w:val="single" w:sz="4" w:space="0" w:color="4F81BD"/>
            </w:tcBorders>
            <w:shd w:val="clear" w:color="auto" w:fill="4F81BD"/>
            <w:vAlign w:val="center"/>
          </w:tcPr>
          <w:p w:rsidR="00C81778" w:rsidRDefault="00AB0D4E">
            <w:pPr>
              <w:widowControl w:val="0"/>
              <w:spacing w:after="200" w:line="276" w:lineRule="auto"/>
              <w:contextualSpacing/>
              <w:jc w:val="center"/>
              <w:rPr>
                <w:rFonts w:ascii="Arial" w:eastAsia="Calibri" w:hAnsi="Arial" w:cs="Times New Roman"/>
                <w:sz w:val="18"/>
              </w:rPr>
            </w:pPr>
            <w:r>
              <w:rPr>
                <w:rFonts w:ascii="Arial" w:eastAsia="Calibri" w:hAnsi="Arial" w:cs="Times New Roman"/>
                <w:b/>
                <w:bCs/>
                <w:color w:val="FFFFFF"/>
                <w:sz w:val="18"/>
              </w:rPr>
              <w:t>Объяснения отклонения от критериев оценки соблюдения принципа корпоративного управления</w:t>
            </w:r>
          </w:p>
        </w:tc>
      </w:tr>
      <w:tr w:rsidR="00C81778">
        <w:trPr>
          <w:trHeight w:val="164"/>
        </w:trPr>
        <w:tc>
          <w:tcPr>
            <w:tcW w:w="710" w:type="dxa"/>
            <w:tcBorders>
              <w:top w:val="single" w:sz="4" w:space="0" w:color="4F81BD"/>
              <w:left w:val="single" w:sz="4" w:space="0" w:color="4F81BD"/>
              <w:bottom w:val="single" w:sz="4" w:space="0" w:color="4F81BD"/>
            </w:tcBorders>
            <w:shd w:val="clear" w:color="auto" w:fill="4F81BD"/>
          </w:tcPr>
          <w:p w:rsidR="00C81778" w:rsidRDefault="00C81778">
            <w:pPr>
              <w:widowControl w:val="0"/>
              <w:spacing w:after="200" w:line="276" w:lineRule="auto"/>
              <w:contextualSpacing/>
              <w:rPr>
                <w:rFonts w:ascii="Arial" w:eastAsia="Calibri" w:hAnsi="Arial" w:cs="Times New Roman"/>
                <w:sz w:val="18"/>
              </w:rPr>
            </w:pPr>
          </w:p>
        </w:tc>
        <w:tc>
          <w:tcPr>
            <w:tcW w:w="14311" w:type="dxa"/>
            <w:gridSpan w:val="4"/>
            <w:tcBorders>
              <w:top w:val="single" w:sz="4" w:space="0" w:color="4F81BD"/>
              <w:bottom w:val="single" w:sz="4" w:space="0" w:color="4F81BD"/>
              <w:right w:val="single" w:sz="4" w:space="0" w:color="4F81BD"/>
            </w:tcBorders>
            <w:shd w:val="clear" w:color="auto" w:fill="4F81BD"/>
          </w:tcPr>
          <w:p w:rsidR="00C81778" w:rsidRDefault="00C81778">
            <w:pPr>
              <w:widowControl w:val="0"/>
              <w:spacing w:after="200" w:line="276" w:lineRule="auto"/>
              <w:contextualSpacing/>
              <w:rPr>
                <w:rFonts w:ascii="Arial" w:eastAsia="Calibri" w:hAnsi="Arial" w:cs="Times New Roman"/>
                <w:sz w:val="18"/>
              </w:rPr>
            </w:pPr>
          </w:p>
        </w:tc>
      </w:tr>
      <w:tr w:rsidR="00C81778">
        <w:trPr>
          <w:trHeight w:val="164"/>
        </w:trPr>
        <w:tc>
          <w:tcPr>
            <w:tcW w:w="15021" w:type="dxa"/>
            <w:gridSpan w:val="5"/>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1.1.</w:t>
            </w:r>
            <w:r>
              <w:rPr>
                <w:rFonts w:ascii="Arial" w:eastAsia="Calibri" w:hAnsi="Arial" w:cs="Times New Roman"/>
                <w:b/>
                <w:bCs/>
                <w:sz w:val="18"/>
              </w:rPr>
              <w:tab/>
              <w:t>Общество должно обеспечивать равное и справедливое отношение ко всем акционерам при реализации ими права на участие в управлении Обществом.</w:t>
            </w: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1.1.1</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Общество создает для акционеров максимально благоприятные условия для участия в общем собрании, условия для выработки обоснованной позиции по вопросам повестки дня общего собрания, координации своих действий, а также возможность высказать свое мнение по рассматриваемым вопросам</w:t>
            </w:r>
            <w:r>
              <w:rPr>
                <w:rFonts w:ascii="Arial" w:eastAsia="Calibri" w:hAnsi="Arial" w:cs="Arial"/>
                <w:sz w:val="18"/>
                <w:szCs w:val="18"/>
              </w:rPr>
              <w:t>.</w:t>
            </w:r>
          </w:p>
        </w:tc>
        <w:tc>
          <w:tcPr>
            <w:tcW w:w="3827" w:type="dxa"/>
            <w:shd w:val="clear" w:color="auto" w:fill="DBE5F1"/>
          </w:tcPr>
          <w:p w:rsidR="00C81778" w:rsidRDefault="00AB0D4E">
            <w:pPr>
              <w:widowControl w:val="0"/>
              <w:numPr>
                <w:ilvl w:val="0"/>
                <w:numId w:val="17"/>
              </w:numPr>
              <w:tabs>
                <w:tab w:val="left" w:pos="285"/>
              </w:tabs>
              <w:spacing w:after="0" w:line="240" w:lineRule="auto"/>
              <w:ind w:left="28" w:firstLine="0"/>
              <w:jc w:val="both"/>
              <w:rPr>
                <w:rFonts w:ascii="Arial" w:eastAsia="Calibri" w:hAnsi="Arial" w:cs="Arial"/>
                <w:sz w:val="18"/>
                <w:szCs w:val="20"/>
                <w:lang w:eastAsia="ru-RU"/>
              </w:rPr>
            </w:pPr>
            <w:r>
              <w:rPr>
                <w:rFonts w:ascii="Arial" w:eastAsia="Calibri" w:hAnsi="Arial" w:cs="Arial"/>
                <w:sz w:val="18"/>
                <w:szCs w:val="20"/>
                <w:lang w:eastAsia="ru-RU"/>
              </w:rPr>
              <w:t>Общество предоставляет доступный способ коммуникации с обществом, такой как горячая линия, электронная почта или форум в сети Интернет, позволяющий акционерам высказать свое мнение и направить вопросы в отношении повестки дня в процессе подготовки к проведению общего собрания.</w:t>
            </w:r>
          </w:p>
          <w:p w:rsidR="00C81778" w:rsidRDefault="00AB0D4E">
            <w:pPr>
              <w:widowControl w:val="0"/>
              <w:tabs>
                <w:tab w:val="left" w:pos="285"/>
              </w:tabs>
              <w:spacing w:after="200" w:line="276" w:lineRule="auto"/>
              <w:ind w:left="28"/>
              <w:contextualSpacing/>
              <w:jc w:val="both"/>
              <w:rPr>
                <w:rFonts w:ascii="Arial" w:eastAsia="Calibri" w:hAnsi="Arial" w:cs="Times New Roman"/>
                <w:sz w:val="18"/>
              </w:rPr>
            </w:pPr>
            <w:r>
              <w:rPr>
                <w:rFonts w:ascii="Arial" w:eastAsia="Calibri" w:hAnsi="Arial" w:cs="Times New Roman"/>
                <w:sz w:val="18"/>
              </w:rPr>
              <w:t>Указанные способы коммуникации были организованы обществом и предоставлены акционерам в ходе подготовки к проведению каждого общего собрания, прошедшего в отчетный период</w:t>
            </w:r>
            <w:r>
              <w:rPr>
                <w:rFonts w:ascii="Arial" w:eastAsia="Calibri" w:hAnsi="Arial" w:cs="Arial"/>
                <w:sz w:val="18"/>
                <w:szCs w:val="18"/>
              </w:rPr>
              <w:t>.</w:t>
            </w:r>
          </w:p>
        </w:tc>
        <w:tc>
          <w:tcPr>
            <w:tcW w:w="2692" w:type="dxa"/>
            <w:shd w:val="clear" w:color="auto" w:fill="DBE5F1"/>
          </w:tcPr>
          <w:p w:rsidR="00C81778" w:rsidRDefault="00AB0D4E">
            <w:pPr>
              <w:spacing w:after="200" w:line="276" w:lineRule="auto"/>
              <w:jc w:val="both"/>
              <w:rPr>
                <w:rFonts w:ascii="Arial" w:eastAsia="Calibri" w:hAnsi="Arial" w:cs="Times New Roman"/>
                <w:sz w:val="18"/>
              </w:rPr>
            </w:pPr>
            <w:r>
              <w:rPr>
                <w:rFonts w:ascii="Arial" w:eastAsia="Calibri" w:hAnsi="Arial" w:cs="Arial"/>
                <w:sz w:val="18"/>
                <w:szCs w:val="18"/>
              </w:rPr>
              <w:t>Соблюдается</w:t>
            </w:r>
          </w:p>
        </w:tc>
        <w:tc>
          <w:tcPr>
            <w:tcW w:w="3966" w:type="dxa"/>
            <w:shd w:val="clear" w:color="auto" w:fill="DBE5F1"/>
          </w:tcPr>
          <w:p w:rsidR="00C81778" w:rsidRDefault="00AB0D4E">
            <w:pPr>
              <w:widowControl w:val="0"/>
              <w:spacing w:after="200" w:line="276" w:lineRule="auto"/>
              <w:contextualSpacing/>
              <w:rPr>
                <w:rFonts w:ascii="Arial" w:eastAsia="Calibri" w:hAnsi="Arial" w:cs="Times New Roman"/>
                <w:sz w:val="18"/>
                <w:lang w:val="en-US"/>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1.1.2</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Порядок сообщения о проведении </w:t>
            </w:r>
            <w:r>
              <w:rPr>
                <w:rFonts w:ascii="Arial" w:eastAsia="Calibri" w:hAnsi="Arial" w:cs="Arial"/>
                <w:sz w:val="18"/>
                <w:szCs w:val="18"/>
              </w:rPr>
              <w:t>Общего</w:t>
            </w:r>
            <w:r>
              <w:rPr>
                <w:rFonts w:ascii="Arial" w:eastAsia="Calibri" w:hAnsi="Arial" w:cs="Times New Roman"/>
                <w:sz w:val="18"/>
              </w:rPr>
              <w:t xml:space="preserve"> собрания и предоставления материалов к </w:t>
            </w:r>
            <w:r>
              <w:rPr>
                <w:rFonts w:ascii="Arial" w:eastAsia="Calibri" w:hAnsi="Arial" w:cs="Arial"/>
                <w:sz w:val="18"/>
                <w:szCs w:val="18"/>
              </w:rPr>
              <w:t>Общему</w:t>
            </w:r>
            <w:r>
              <w:rPr>
                <w:rFonts w:ascii="Arial" w:eastAsia="Calibri" w:hAnsi="Arial" w:cs="Times New Roman"/>
                <w:sz w:val="18"/>
              </w:rPr>
              <w:t xml:space="preserve"> собранию дает акционерам возможность надлежащим образом подготовиться к участию в нем</w:t>
            </w:r>
            <w:r>
              <w:rPr>
                <w:rFonts w:ascii="Arial" w:eastAsia="Calibri" w:hAnsi="Arial" w:cs="Arial"/>
                <w:sz w:val="18"/>
                <w:szCs w:val="18"/>
              </w:rPr>
              <w:t>.</w:t>
            </w:r>
          </w:p>
        </w:tc>
        <w:tc>
          <w:tcPr>
            <w:tcW w:w="3827" w:type="dxa"/>
          </w:tcPr>
          <w:p w:rsidR="00C81778" w:rsidRDefault="00AB0D4E" w:rsidP="00AB0D4E">
            <w:pPr>
              <w:widowControl w:val="0"/>
              <w:numPr>
                <w:ilvl w:val="0"/>
                <w:numId w:val="20"/>
              </w:numPr>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В отчетном периоде сообщение о проведении Общего собрания акционеров размещено (опубликовано) на сайте Общества в сети Интернет не позднее чем за 30 дней до даты проведения Общего собрания, если законодательством не предусмотрен больший срок.</w:t>
            </w:r>
          </w:p>
          <w:p w:rsidR="00C81778" w:rsidRDefault="00AB0D4E" w:rsidP="00AB0D4E">
            <w:pPr>
              <w:widowControl w:val="0"/>
              <w:numPr>
                <w:ilvl w:val="0"/>
                <w:numId w:val="21"/>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В сообщении о проведении собрания </w:t>
            </w:r>
            <w:r>
              <w:rPr>
                <w:rFonts w:ascii="Arial" w:eastAsia="Calibri" w:hAnsi="Arial" w:cs="Arial"/>
                <w:sz w:val="18"/>
                <w:szCs w:val="18"/>
              </w:rPr>
              <w:t>указано место проведения собрания и</w:t>
            </w:r>
            <w:r>
              <w:rPr>
                <w:rFonts w:ascii="Arial" w:eastAsia="Calibri" w:hAnsi="Arial" w:cs="Times New Roman"/>
                <w:sz w:val="18"/>
              </w:rPr>
              <w:t xml:space="preserve"> документы, необходимые для допуска в помещение.</w:t>
            </w:r>
          </w:p>
          <w:p w:rsidR="00C81778" w:rsidRDefault="00AB0D4E" w:rsidP="00AB0D4E">
            <w:pPr>
              <w:widowControl w:val="0"/>
              <w:numPr>
                <w:ilvl w:val="0"/>
                <w:numId w:val="22"/>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Акционерам был обеспечен доступ к информации о том, кем предложены вопросы повестки дня и кем выдвинуты кандидаты в Совет директоров и ревизионную комиссию Общества (в случае, если ее формирование предусмотрено Уставом Общества</w:t>
            </w:r>
            <w:r>
              <w:rPr>
                <w:rFonts w:ascii="Arial" w:eastAsia="Calibri" w:hAnsi="Arial" w:cs="Arial"/>
                <w:sz w:val="18"/>
                <w:szCs w:val="18"/>
              </w:rPr>
              <w:t>).</w:t>
            </w:r>
          </w:p>
        </w:tc>
        <w:tc>
          <w:tcPr>
            <w:tcW w:w="2692" w:type="dxa"/>
          </w:tcPr>
          <w:p w:rsidR="00C81778" w:rsidRDefault="00AB0D4E">
            <w:pPr>
              <w:spacing w:after="200" w:line="276" w:lineRule="auto"/>
              <w:jc w:val="both"/>
              <w:rPr>
                <w:rFonts w:ascii="Arial" w:eastAsia="Calibri" w:hAnsi="Arial" w:cs="Times New Roman"/>
                <w:sz w:val="18"/>
              </w:rPr>
            </w:pPr>
            <w:r>
              <w:rPr>
                <w:rFonts w:ascii="Arial" w:eastAsia="Calibri" w:hAnsi="Arial" w:cs="Arial"/>
                <w:sz w:val="18"/>
                <w:szCs w:val="18"/>
              </w:rPr>
              <w:t>Частично соблюдается</w:t>
            </w:r>
          </w:p>
        </w:tc>
        <w:tc>
          <w:tcPr>
            <w:tcW w:w="3966" w:type="dxa"/>
          </w:tcPr>
          <w:p w:rsidR="00C81778" w:rsidRDefault="00AB0D4E">
            <w:pPr>
              <w:widowControl w:val="0"/>
              <w:tabs>
                <w:tab w:val="left" w:pos="375"/>
              </w:tabs>
              <w:spacing w:after="0" w:line="240" w:lineRule="auto"/>
              <w:ind w:left="28"/>
              <w:contextualSpacing/>
              <w:jc w:val="both"/>
              <w:rPr>
                <w:rFonts w:ascii="Arial" w:eastAsia="Calibri" w:hAnsi="Arial" w:cs="Times New Roman"/>
                <w:sz w:val="18"/>
                <w:u w:val="single"/>
              </w:rPr>
            </w:pPr>
            <w:r>
              <w:rPr>
                <w:rFonts w:ascii="Arial" w:eastAsia="Calibri" w:hAnsi="Arial" w:cs="Times New Roman"/>
                <w:sz w:val="18"/>
                <w:u w:val="single"/>
              </w:rPr>
              <w:t>Критерий 1: частично соблюдается.</w:t>
            </w:r>
          </w:p>
          <w:p w:rsidR="00C81778" w:rsidRDefault="00AB0D4E">
            <w:pPr>
              <w:widowControl w:val="0"/>
              <w:tabs>
                <w:tab w:val="left" w:pos="375"/>
              </w:tabs>
              <w:spacing w:after="0" w:line="240" w:lineRule="auto"/>
              <w:ind w:left="28"/>
              <w:contextualSpacing/>
              <w:jc w:val="both"/>
              <w:rPr>
                <w:rFonts w:ascii="Arial" w:eastAsia="Calibri" w:hAnsi="Arial" w:cs="Times New Roman"/>
                <w:sz w:val="18"/>
              </w:rPr>
            </w:pPr>
            <w:r>
              <w:rPr>
                <w:rFonts w:ascii="Arial" w:eastAsia="Calibri" w:hAnsi="Arial" w:cs="Times New Roman"/>
                <w:sz w:val="18"/>
              </w:rPr>
              <w:t>В отчетном периоде сообщение о проведении внеочередного Общего собрания акционеров ПАО «ОГК-2» размещено (опубликовано) на сайте Общества в сети Интернет за 21 день до даты проведения, руководствуясь требованиями ст. 52 ФЗ «Об акционерных обществах» и Уставом Общества, предусматривающими 21-дневный срок для опубликования сообщения о проведении собрания (п. 14.10 ст. 14 Устава). При этом заседание Совета директоров ПАО «ОГК-2», на котором рассматривался вопрос о созыве внеочередного Общего собрания акционеров состоялось 04.09.2023 путем заочного голосования.</w:t>
            </w:r>
          </w:p>
          <w:p w:rsidR="00C81778" w:rsidRDefault="00AB0D4E">
            <w:pPr>
              <w:widowControl w:val="0"/>
              <w:tabs>
                <w:tab w:val="left" w:pos="375"/>
              </w:tabs>
              <w:spacing w:after="0" w:line="240" w:lineRule="auto"/>
              <w:ind w:left="28"/>
              <w:contextualSpacing/>
              <w:jc w:val="both"/>
              <w:rPr>
                <w:rFonts w:ascii="Arial" w:eastAsia="Calibri" w:hAnsi="Arial" w:cs="Times New Roman"/>
                <w:sz w:val="18"/>
              </w:rPr>
            </w:pPr>
            <w:r>
              <w:rPr>
                <w:rFonts w:ascii="Arial" w:eastAsia="Calibri" w:hAnsi="Arial" w:cs="Times New Roman"/>
                <w:sz w:val="18"/>
              </w:rPr>
              <w:t xml:space="preserve">В то же время, сообщение о проведении </w:t>
            </w:r>
            <w:r>
              <w:rPr>
                <w:rFonts w:ascii="Arial" w:eastAsia="Calibri" w:hAnsi="Arial" w:cs="Times New Roman"/>
                <w:sz w:val="18"/>
              </w:rPr>
              <w:lastRenderedPageBreak/>
              <w:t>годового Общего собрания акционеров ПАО «ОГК-2» в отчетном году было размещено (опубликовано) на сайте Общества в сети Интернет за 30 дней до даты проведения собрания. Также ранее сообщения о проведении общих собраний акционеров Общества размещались на официальном сайте ПАО «ОГК-2» за 30 дней до проведения собрания.</w:t>
            </w:r>
          </w:p>
          <w:p w:rsidR="00C81778" w:rsidRDefault="00AB0D4E">
            <w:pPr>
              <w:widowControl w:val="0"/>
              <w:tabs>
                <w:tab w:val="left" w:pos="375"/>
              </w:tabs>
              <w:spacing w:after="0" w:line="240" w:lineRule="auto"/>
              <w:ind w:left="28"/>
              <w:contextualSpacing/>
              <w:jc w:val="both"/>
              <w:rPr>
                <w:rFonts w:ascii="Arial" w:eastAsia="Calibri" w:hAnsi="Arial" w:cs="Times New Roman"/>
                <w:sz w:val="18"/>
              </w:rPr>
            </w:pPr>
            <w:r>
              <w:rPr>
                <w:rFonts w:ascii="Arial" w:eastAsia="Calibri" w:hAnsi="Arial" w:cs="Times New Roman"/>
                <w:sz w:val="18"/>
              </w:rPr>
              <w:t>Общество планирует вернуться с 2024 г. на постоянной основе к практике опубликования сообщения о проведении Общего собрания акционеров Общества в срок не позднее чем за 30 дней до даты проведения собрания.</w:t>
            </w:r>
          </w:p>
          <w:p w:rsidR="00C81778" w:rsidRDefault="00C81778">
            <w:pPr>
              <w:widowControl w:val="0"/>
              <w:tabs>
                <w:tab w:val="left" w:pos="375"/>
              </w:tabs>
              <w:spacing w:after="0" w:line="240" w:lineRule="auto"/>
              <w:ind w:left="28"/>
              <w:contextualSpacing/>
              <w:jc w:val="both"/>
              <w:rPr>
                <w:rFonts w:ascii="Arial" w:eastAsia="Calibri" w:hAnsi="Arial" w:cs="Times New Roman"/>
                <w:sz w:val="18"/>
              </w:rPr>
            </w:pPr>
          </w:p>
          <w:p w:rsidR="00C81778" w:rsidRDefault="00AB0D4E">
            <w:pPr>
              <w:spacing w:after="200" w:line="276" w:lineRule="auto"/>
              <w:rPr>
                <w:rFonts w:ascii="Arial" w:eastAsia="Calibri" w:hAnsi="Arial" w:cs="Arial"/>
                <w:sz w:val="18"/>
                <w:szCs w:val="18"/>
                <w:u w:val="single"/>
              </w:rPr>
            </w:pPr>
            <w:r>
              <w:rPr>
                <w:rFonts w:ascii="Arial" w:eastAsia="Calibri" w:hAnsi="Arial" w:cs="Arial"/>
                <w:sz w:val="18"/>
                <w:szCs w:val="18"/>
                <w:u w:val="single"/>
              </w:rPr>
              <w:t>Критерий 2 не соблюдается.</w:t>
            </w:r>
          </w:p>
          <w:p w:rsidR="00C81778" w:rsidRDefault="00AB0D4E">
            <w:pPr>
              <w:spacing w:after="200" w:line="276" w:lineRule="auto"/>
              <w:jc w:val="both"/>
              <w:rPr>
                <w:rFonts w:ascii="Arial" w:eastAsia="Calibri" w:hAnsi="Arial" w:cs="Times New Roman"/>
                <w:sz w:val="18"/>
              </w:rPr>
            </w:pPr>
            <w:r>
              <w:rPr>
                <w:rFonts w:ascii="Arial" w:eastAsia="Calibri" w:hAnsi="Arial" w:cs="Times New Roman"/>
                <w:sz w:val="18"/>
              </w:rPr>
              <w:t>В отчетном году в сообщении о проведении собрания не были указаны документы, необходимые для допуска в помещение.</w:t>
            </w:r>
          </w:p>
          <w:p w:rsidR="00C81778" w:rsidRDefault="00AB0D4E">
            <w:pPr>
              <w:spacing w:after="200" w:line="276" w:lineRule="auto"/>
              <w:jc w:val="both"/>
              <w:rPr>
                <w:rFonts w:ascii="Arial" w:eastAsia="Calibri" w:hAnsi="Arial" w:cs="Times New Roman"/>
                <w:sz w:val="18"/>
              </w:rPr>
            </w:pPr>
            <w:r>
              <w:rPr>
                <w:rFonts w:ascii="Arial" w:eastAsia="Calibri" w:hAnsi="Arial" w:cs="Times New Roman"/>
                <w:sz w:val="18"/>
              </w:rPr>
              <w:t>Данное несоответствие связано с тем, что в отчетном году Общество не проводило общих собраний акционеров в форме собрания (совместного присутствия).</w:t>
            </w:r>
          </w:p>
          <w:p w:rsidR="00C81778" w:rsidRDefault="00AB0D4E">
            <w:pPr>
              <w:spacing w:after="200" w:line="276" w:lineRule="auto"/>
              <w:jc w:val="both"/>
              <w:rPr>
                <w:rFonts w:ascii="Arial" w:eastAsia="Calibri" w:hAnsi="Arial" w:cs="Times New Roman"/>
                <w:sz w:val="18"/>
              </w:rPr>
            </w:pPr>
            <w:r>
              <w:rPr>
                <w:rFonts w:ascii="Arial" w:eastAsia="Calibri" w:hAnsi="Arial" w:cs="Times New Roman"/>
                <w:sz w:val="18"/>
              </w:rPr>
              <w:t>В соответствии с Федеральным законом от 25.02.2022 № 25-ФЗ «О внесении изменений в Федеральный закон «Об акционерных обществах» и о приостановлении действия отдельных положений законодательных актов Российской Федерации» Общее собрание акционеров, проведенное Обществом в 2023 году, было организовано в заочной форме, что не предполагает наличие в сообщении о проведении собрания информации о документах, необходимых для допуска в помещение, в котором проводится собрание.</w:t>
            </w:r>
          </w:p>
          <w:p w:rsidR="00C81778" w:rsidRDefault="00AB0D4E">
            <w:pPr>
              <w:spacing w:after="200" w:line="276" w:lineRule="auto"/>
              <w:jc w:val="both"/>
              <w:rPr>
                <w:rFonts w:ascii="Arial" w:eastAsia="Calibri" w:hAnsi="Arial" w:cs="Times New Roman"/>
                <w:sz w:val="18"/>
              </w:rPr>
            </w:pPr>
            <w:r>
              <w:rPr>
                <w:rFonts w:ascii="Arial" w:eastAsia="Calibri" w:hAnsi="Arial" w:cs="Times New Roman"/>
                <w:sz w:val="18"/>
              </w:rPr>
              <w:t xml:space="preserve">При этом критерий 2 соблюдался Обществом ранее при проведении общих </w:t>
            </w:r>
            <w:r>
              <w:rPr>
                <w:rFonts w:ascii="Arial" w:eastAsia="Calibri" w:hAnsi="Arial" w:cs="Times New Roman"/>
                <w:sz w:val="18"/>
              </w:rPr>
              <w:lastRenderedPageBreak/>
              <w:t>собраний акционеров в форме собрания (совместного присутствия).</w:t>
            </w:r>
          </w:p>
          <w:p w:rsidR="00C81778" w:rsidRDefault="00AB0D4E">
            <w:pPr>
              <w:spacing w:after="200" w:line="276" w:lineRule="auto"/>
              <w:jc w:val="both"/>
              <w:rPr>
                <w:rFonts w:ascii="Arial" w:eastAsia="Calibri" w:hAnsi="Arial" w:cs="Times New Roman"/>
                <w:sz w:val="18"/>
              </w:rPr>
            </w:pPr>
            <w:r>
              <w:rPr>
                <w:rFonts w:ascii="Arial" w:eastAsia="Calibri" w:hAnsi="Arial" w:cs="Times New Roman"/>
                <w:sz w:val="18"/>
              </w:rPr>
              <w:t>Несоблюдение критерия 2 является ограниченным по времени, и Общество намерено восстановить его соблюдение после прекращения действия поправок в ФЗ «Об акционерных обществах» и при проведении общих собраний акционеров в форме собрания (совместного присутствия) При проведении общих собраний в заочной форме Общество планирует придерживаться данной практики, так как полагает, что в данном случае права и интересы акционеров не нарушаются.</w:t>
            </w:r>
          </w:p>
          <w:p w:rsidR="00C81778" w:rsidRDefault="00AB0D4E">
            <w:pPr>
              <w:spacing w:after="200" w:line="276" w:lineRule="auto"/>
              <w:rPr>
                <w:rFonts w:ascii="Arial" w:eastAsia="Calibri" w:hAnsi="Arial" w:cs="Arial"/>
                <w:sz w:val="18"/>
                <w:szCs w:val="18"/>
                <w:u w:val="single"/>
              </w:rPr>
            </w:pPr>
            <w:r>
              <w:rPr>
                <w:rFonts w:ascii="Arial" w:eastAsia="Calibri" w:hAnsi="Arial" w:cs="Arial"/>
                <w:sz w:val="18"/>
                <w:szCs w:val="18"/>
                <w:u w:val="single"/>
              </w:rPr>
              <w:t>Критерий 3: соблюдается.</w:t>
            </w: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1.1.3</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В ходе подготовки и проведения </w:t>
            </w:r>
            <w:r>
              <w:rPr>
                <w:rFonts w:ascii="Arial" w:eastAsia="Calibri" w:hAnsi="Arial" w:cs="Arial"/>
                <w:sz w:val="18"/>
                <w:szCs w:val="18"/>
              </w:rPr>
              <w:t>Общего</w:t>
            </w:r>
            <w:r>
              <w:rPr>
                <w:rFonts w:ascii="Arial" w:eastAsia="Calibri" w:hAnsi="Arial" w:cs="Times New Roman"/>
                <w:sz w:val="18"/>
              </w:rPr>
              <w:t xml:space="preserve"> собрания акционеры имели возможность беспрепятственно и своевременно получать информацию о собрании и материалы к нему, задавать вопросы исполнительным органам и членам </w:t>
            </w:r>
            <w:r>
              <w:rPr>
                <w:rFonts w:ascii="Arial" w:eastAsia="Calibri" w:hAnsi="Arial" w:cs="Arial"/>
                <w:sz w:val="18"/>
                <w:szCs w:val="18"/>
              </w:rPr>
              <w:t>Совета</w:t>
            </w:r>
            <w:r>
              <w:rPr>
                <w:rFonts w:ascii="Arial" w:eastAsia="Calibri" w:hAnsi="Arial" w:cs="Times New Roman"/>
                <w:sz w:val="18"/>
              </w:rPr>
              <w:t xml:space="preserve"> директоров </w:t>
            </w:r>
            <w:r>
              <w:rPr>
                <w:rFonts w:ascii="Arial" w:eastAsia="Calibri" w:hAnsi="Arial" w:cs="Arial"/>
                <w:sz w:val="18"/>
                <w:szCs w:val="18"/>
              </w:rPr>
              <w:t>Общества</w:t>
            </w:r>
            <w:r>
              <w:rPr>
                <w:rFonts w:ascii="Arial" w:eastAsia="Calibri" w:hAnsi="Arial" w:cs="Times New Roman"/>
                <w:sz w:val="18"/>
              </w:rPr>
              <w:t xml:space="preserve">, общаться </w:t>
            </w:r>
            <w:r>
              <w:rPr>
                <w:rFonts w:ascii="Arial" w:eastAsia="Calibri" w:hAnsi="Arial" w:cs="Arial"/>
                <w:sz w:val="18"/>
                <w:szCs w:val="18"/>
              </w:rPr>
              <w:t xml:space="preserve">с </w:t>
            </w:r>
            <w:r>
              <w:rPr>
                <w:rFonts w:ascii="Arial" w:eastAsia="Calibri" w:hAnsi="Arial" w:cs="Times New Roman"/>
                <w:sz w:val="18"/>
              </w:rPr>
              <w:t>друг другом</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23"/>
              </w:numPr>
              <w:tabs>
                <w:tab w:val="left" w:pos="375"/>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В отчетном периоде акционерам была предоставлена возможность задать вопросы членам исполнительных органов и членам </w:t>
            </w:r>
            <w:r>
              <w:rPr>
                <w:rFonts w:ascii="Arial" w:eastAsia="Calibri" w:hAnsi="Arial" w:cs="Arial"/>
                <w:sz w:val="18"/>
                <w:szCs w:val="18"/>
              </w:rPr>
              <w:t>Совета</w:t>
            </w:r>
            <w:r>
              <w:rPr>
                <w:rFonts w:ascii="Arial" w:eastAsia="Calibri" w:hAnsi="Arial" w:cs="Times New Roman"/>
                <w:sz w:val="18"/>
              </w:rPr>
              <w:t xml:space="preserve"> директоров </w:t>
            </w:r>
            <w:r>
              <w:rPr>
                <w:rFonts w:ascii="Arial" w:eastAsia="Calibri" w:hAnsi="Arial" w:cs="Arial"/>
                <w:sz w:val="18"/>
                <w:szCs w:val="18"/>
              </w:rPr>
              <w:t>Общества</w:t>
            </w:r>
            <w:r>
              <w:rPr>
                <w:rFonts w:ascii="Arial" w:eastAsia="Calibri" w:hAnsi="Arial" w:cs="Times New Roman"/>
                <w:sz w:val="18"/>
              </w:rPr>
              <w:t xml:space="preserve"> в период подготовки и в ходе проведения </w:t>
            </w:r>
            <w:r>
              <w:rPr>
                <w:rFonts w:ascii="Arial" w:eastAsia="Calibri" w:hAnsi="Arial" w:cs="Arial"/>
                <w:sz w:val="18"/>
                <w:szCs w:val="18"/>
              </w:rPr>
              <w:t>годового Общего</w:t>
            </w:r>
            <w:r>
              <w:rPr>
                <w:rFonts w:ascii="Arial" w:eastAsia="Calibri" w:hAnsi="Arial" w:cs="Times New Roman"/>
                <w:sz w:val="18"/>
              </w:rPr>
              <w:t xml:space="preserve"> собрания.</w:t>
            </w:r>
          </w:p>
          <w:p w:rsidR="00C81778" w:rsidRDefault="00AB0D4E" w:rsidP="00AB0D4E">
            <w:pPr>
              <w:widowControl w:val="0"/>
              <w:numPr>
                <w:ilvl w:val="0"/>
                <w:numId w:val="24"/>
              </w:numPr>
              <w:tabs>
                <w:tab w:val="left" w:pos="375"/>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Позиция </w:t>
            </w:r>
            <w:r>
              <w:rPr>
                <w:rFonts w:ascii="Arial" w:eastAsia="Calibri" w:hAnsi="Arial" w:cs="Arial"/>
                <w:sz w:val="18"/>
                <w:szCs w:val="18"/>
              </w:rPr>
              <w:t>Совета</w:t>
            </w:r>
            <w:r>
              <w:rPr>
                <w:rFonts w:ascii="Arial" w:eastAsia="Calibri" w:hAnsi="Arial" w:cs="Times New Roman"/>
                <w:sz w:val="18"/>
              </w:rPr>
              <w:t xml:space="preserve"> директоров (включая внесенные в протокол особые мнения</w:t>
            </w:r>
            <w:r>
              <w:rPr>
                <w:rFonts w:ascii="Arial" w:eastAsia="Calibri" w:hAnsi="Arial" w:cs="Arial"/>
                <w:sz w:val="18"/>
                <w:szCs w:val="18"/>
              </w:rPr>
              <w:t>) (при наличии),</w:t>
            </w:r>
            <w:r>
              <w:rPr>
                <w:rFonts w:ascii="Arial" w:eastAsia="Calibri" w:hAnsi="Arial" w:cs="Times New Roman"/>
                <w:sz w:val="18"/>
              </w:rPr>
              <w:t xml:space="preserve"> по каждому вопросу повестки общих собраний, проведенных в отчетный период, была включена в состав материалов к </w:t>
            </w:r>
            <w:r>
              <w:rPr>
                <w:rFonts w:ascii="Arial" w:eastAsia="Calibri" w:hAnsi="Arial" w:cs="Arial"/>
                <w:sz w:val="18"/>
                <w:szCs w:val="18"/>
              </w:rPr>
              <w:t>Общему</w:t>
            </w:r>
            <w:r>
              <w:rPr>
                <w:rFonts w:ascii="Arial" w:eastAsia="Calibri" w:hAnsi="Arial" w:cs="Times New Roman"/>
                <w:sz w:val="18"/>
              </w:rPr>
              <w:t xml:space="preserve"> собранию.</w:t>
            </w:r>
          </w:p>
          <w:p w:rsidR="00C81778" w:rsidRDefault="00AB0D4E" w:rsidP="00AB0D4E">
            <w:pPr>
              <w:widowControl w:val="0"/>
              <w:numPr>
                <w:ilvl w:val="0"/>
                <w:numId w:val="25"/>
              </w:numPr>
              <w:tabs>
                <w:tab w:val="left" w:pos="375"/>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Общество предоставляло акционерам, имеющим на это право, доступ к списку лиц, имеющих право на участие в Общем собрании, начиная с даты получения его </w:t>
            </w:r>
            <w:r>
              <w:rPr>
                <w:rFonts w:ascii="Arial" w:eastAsia="Calibri" w:hAnsi="Arial" w:cs="Arial"/>
                <w:sz w:val="18"/>
                <w:szCs w:val="18"/>
              </w:rPr>
              <w:t>Обществом,</w:t>
            </w:r>
            <w:r>
              <w:rPr>
                <w:rFonts w:ascii="Arial" w:eastAsia="Calibri" w:hAnsi="Arial" w:cs="Times New Roman"/>
                <w:sz w:val="18"/>
              </w:rPr>
              <w:t xml:space="preserve"> во всех случаях проведения </w:t>
            </w:r>
            <w:r>
              <w:rPr>
                <w:rFonts w:ascii="Arial" w:eastAsia="Calibri" w:hAnsi="Arial" w:cs="Arial"/>
                <w:sz w:val="18"/>
                <w:szCs w:val="18"/>
              </w:rPr>
              <w:t>общих</w:t>
            </w:r>
            <w:r>
              <w:rPr>
                <w:rFonts w:ascii="Arial" w:eastAsia="Calibri" w:hAnsi="Arial" w:cs="Times New Roman"/>
                <w:sz w:val="18"/>
              </w:rPr>
              <w:t xml:space="preserve"> собраний в отчетном периоде</w:t>
            </w:r>
            <w:r>
              <w:rPr>
                <w:rFonts w:ascii="Arial" w:eastAsia="Calibri" w:hAnsi="Arial" w:cs="Arial"/>
                <w:sz w:val="18"/>
                <w:szCs w:val="18"/>
              </w:rPr>
              <w:t>.</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Частично соблюдается.</w:t>
            </w:r>
          </w:p>
        </w:tc>
        <w:tc>
          <w:tcPr>
            <w:tcW w:w="3966" w:type="dxa"/>
            <w:shd w:val="clear" w:color="auto" w:fill="DBE5F1"/>
          </w:tcPr>
          <w:p w:rsidR="00C81778" w:rsidRDefault="00AB0D4E">
            <w:pPr>
              <w:widowControl w:val="0"/>
              <w:tabs>
                <w:tab w:val="left" w:pos="375"/>
              </w:tabs>
              <w:spacing w:after="0" w:line="240" w:lineRule="auto"/>
              <w:ind w:left="28"/>
              <w:contextualSpacing/>
              <w:jc w:val="both"/>
              <w:rPr>
                <w:rFonts w:ascii="Arial" w:eastAsia="Calibri" w:hAnsi="Arial" w:cs="Times New Roman"/>
                <w:sz w:val="18"/>
                <w:u w:val="single"/>
              </w:rPr>
            </w:pPr>
            <w:r>
              <w:rPr>
                <w:rFonts w:ascii="Arial" w:eastAsia="Calibri" w:hAnsi="Arial" w:cs="Times New Roman"/>
                <w:sz w:val="18"/>
                <w:u w:val="single"/>
              </w:rPr>
              <w:t>Критерий 1: частично соблюдается</w:t>
            </w:r>
          </w:p>
          <w:p w:rsidR="00C81778" w:rsidRDefault="00AB0D4E">
            <w:pPr>
              <w:widowControl w:val="0"/>
              <w:tabs>
                <w:tab w:val="left" w:pos="375"/>
              </w:tabs>
              <w:spacing w:after="0" w:line="240" w:lineRule="auto"/>
              <w:ind w:left="28"/>
              <w:contextualSpacing/>
              <w:jc w:val="both"/>
              <w:rPr>
                <w:rFonts w:ascii="Arial" w:eastAsia="Calibri" w:hAnsi="Arial" w:cs="Times New Roman"/>
                <w:sz w:val="18"/>
                <w:u w:val="single"/>
              </w:rPr>
            </w:pPr>
            <w:r>
              <w:rPr>
                <w:rFonts w:ascii="Arial" w:eastAsia="Calibri" w:hAnsi="Arial" w:cs="Times New Roman"/>
                <w:sz w:val="18"/>
              </w:rPr>
              <w:t xml:space="preserve">В соответствии со ст. 2 и ст. 3 Федерального закона от 25.02.2022 № 25-ФЗ "О внесении изменений в Федеральный закон "Об акционерных обществах" и о приостановлении действия отдельных положений законодательных актов Российской Федерации" Совет директоров ПАО «ОГК- 2» 22.05.2023 принял решение о проведении годового Общего собрания акционеров ПАО «ОГК-2» в форме заочного голосования. В связи с чем критерий 1 не был соблюден. При этом ранее, при проведении Общих собраний акционеров в форме собрания (совместного присутствия), критерий 1 Обществом соблюдался. Кроме того, на сайте Общества указан номер телефона и адрес электронной почты по которому акционеры имеют возможность, в любое время, связаться и/или направить свои запросы в адрес Общества, в том числе в адрес единоличного исполнительного органа и членам </w:t>
            </w:r>
            <w:r>
              <w:rPr>
                <w:rFonts w:ascii="Arial" w:eastAsia="Calibri" w:hAnsi="Arial" w:cs="Arial"/>
                <w:sz w:val="18"/>
                <w:szCs w:val="18"/>
              </w:rPr>
              <w:t>Совета</w:t>
            </w:r>
            <w:r>
              <w:rPr>
                <w:rFonts w:ascii="Arial" w:eastAsia="Calibri" w:hAnsi="Arial" w:cs="Times New Roman"/>
                <w:sz w:val="18"/>
              </w:rPr>
              <w:t xml:space="preserve"> директоров </w:t>
            </w:r>
            <w:r>
              <w:rPr>
                <w:rFonts w:ascii="Arial" w:eastAsia="Calibri" w:hAnsi="Arial" w:cs="Arial"/>
                <w:sz w:val="18"/>
                <w:szCs w:val="18"/>
              </w:rPr>
              <w:t xml:space="preserve">Общества. </w:t>
            </w:r>
            <w:r>
              <w:rPr>
                <w:rFonts w:ascii="Arial" w:eastAsia="Calibri" w:hAnsi="Arial" w:cs="Times New Roman"/>
                <w:sz w:val="18"/>
              </w:rPr>
              <w:t xml:space="preserve">Частичное несоответствие критерию 1 является ограниченным по времени, и Общество </w:t>
            </w:r>
            <w:r>
              <w:rPr>
                <w:rFonts w:ascii="Arial" w:eastAsia="Calibri" w:hAnsi="Arial" w:cs="Times New Roman"/>
                <w:sz w:val="18"/>
              </w:rPr>
              <w:lastRenderedPageBreak/>
              <w:t>намерено восстановить его соблюдение после прекращения действия поправок в ФЗ «Об акционерных обществах».</w:t>
            </w:r>
          </w:p>
          <w:p w:rsidR="00C81778" w:rsidRDefault="00C81778">
            <w:pPr>
              <w:widowControl w:val="0"/>
              <w:tabs>
                <w:tab w:val="left" w:pos="375"/>
              </w:tabs>
              <w:spacing w:after="0" w:line="240" w:lineRule="auto"/>
              <w:ind w:left="28"/>
              <w:contextualSpacing/>
              <w:jc w:val="both"/>
              <w:rPr>
                <w:rFonts w:ascii="Arial" w:eastAsia="Calibri" w:hAnsi="Arial" w:cs="Times New Roman"/>
                <w:sz w:val="18"/>
                <w:u w:val="single"/>
              </w:rPr>
            </w:pPr>
          </w:p>
          <w:p w:rsidR="00C81778" w:rsidRDefault="00AB0D4E">
            <w:pPr>
              <w:widowControl w:val="0"/>
              <w:tabs>
                <w:tab w:val="left" w:pos="375"/>
              </w:tabs>
              <w:spacing w:after="0" w:line="240" w:lineRule="auto"/>
              <w:contextualSpacing/>
              <w:jc w:val="both"/>
              <w:rPr>
                <w:rFonts w:ascii="Arial" w:eastAsia="Calibri" w:hAnsi="Arial" w:cs="Times New Roman"/>
                <w:sz w:val="18"/>
                <w:u w:val="single"/>
              </w:rPr>
            </w:pPr>
            <w:r>
              <w:rPr>
                <w:rFonts w:ascii="Arial" w:eastAsia="Calibri" w:hAnsi="Arial" w:cs="Times New Roman"/>
                <w:sz w:val="18"/>
                <w:u w:val="single"/>
              </w:rPr>
              <w:t>Критерий 2: соблюдается</w:t>
            </w:r>
          </w:p>
          <w:p w:rsidR="00C81778" w:rsidRDefault="00C81778">
            <w:pPr>
              <w:widowControl w:val="0"/>
              <w:tabs>
                <w:tab w:val="left" w:pos="375"/>
              </w:tabs>
              <w:spacing w:after="0" w:line="240" w:lineRule="auto"/>
              <w:ind w:left="28"/>
              <w:contextualSpacing/>
              <w:jc w:val="both"/>
              <w:rPr>
                <w:rFonts w:ascii="Arial" w:eastAsia="Calibri" w:hAnsi="Arial" w:cs="Arial"/>
                <w:sz w:val="18"/>
                <w:szCs w:val="18"/>
              </w:rPr>
            </w:pPr>
          </w:p>
          <w:p w:rsidR="00C81778" w:rsidRDefault="00AB0D4E">
            <w:pPr>
              <w:spacing w:after="200" w:line="276" w:lineRule="auto"/>
              <w:jc w:val="both"/>
              <w:rPr>
                <w:rFonts w:ascii="Arial" w:eastAsia="Calibri" w:hAnsi="Arial" w:cs="Arial"/>
                <w:sz w:val="18"/>
                <w:szCs w:val="18"/>
                <w:u w:val="single"/>
              </w:rPr>
            </w:pPr>
            <w:r>
              <w:rPr>
                <w:rFonts w:ascii="Arial" w:eastAsia="Calibri" w:hAnsi="Arial" w:cs="Arial"/>
                <w:sz w:val="18"/>
                <w:szCs w:val="18"/>
                <w:u w:val="single"/>
              </w:rPr>
              <w:t>Критерий 3: соблюдается.</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1.1.4</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Реализация права акционера требовать созыва </w:t>
            </w:r>
            <w:r>
              <w:rPr>
                <w:rFonts w:ascii="Arial" w:eastAsia="Calibri" w:hAnsi="Arial" w:cs="Arial"/>
                <w:sz w:val="18"/>
                <w:szCs w:val="18"/>
              </w:rPr>
              <w:t>Общего</w:t>
            </w:r>
            <w:r>
              <w:rPr>
                <w:rFonts w:ascii="Arial" w:eastAsia="Calibri" w:hAnsi="Arial" w:cs="Times New Roman"/>
                <w:sz w:val="18"/>
              </w:rPr>
              <w:t xml:space="preserve"> собрания, выдвигать кандидатов в органы управления и вносить предложения для включения в повестку дня Общего собрания не была сопряжена с неоправданными сложностями</w:t>
            </w:r>
            <w:r>
              <w:rPr>
                <w:rFonts w:ascii="Arial" w:eastAsia="Calibri" w:hAnsi="Arial" w:cs="Arial"/>
                <w:sz w:val="18"/>
                <w:szCs w:val="18"/>
              </w:rPr>
              <w:t>.</w:t>
            </w:r>
          </w:p>
        </w:tc>
        <w:tc>
          <w:tcPr>
            <w:tcW w:w="3827" w:type="dxa"/>
          </w:tcPr>
          <w:p w:rsidR="00C81778" w:rsidRDefault="00AB0D4E">
            <w:pPr>
              <w:widowControl w:val="0"/>
              <w:numPr>
                <w:ilvl w:val="0"/>
                <w:numId w:val="18"/>
              </w:numPr>
              <w:tabs>
                <w:tab w:val="left" w:pos="39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Уставом Общества установлен срок внесения акционерами предложений для включения в повестку дня годового Общего собрания, составляющий не менее 60 дней после окончания соответствующего календарного года.</w:t>
            </w:r>
          </w:p>
          <w:p w:rsidR="00C81778" w:rsidRDefault="00AB0D4E">
            <w:pPr>
              <w:widowControl w:val="0"/>
              <w:numPr>
                <w:ilvl w:val="0"/>
                <w:numId w:val="18"/>
              </w:numPr>
              <w:tabs>
                <w:tab w:val="left" w:pos="39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В отчетном периоде Общество не отказывало в принятии предложений в повестку дня или кандидатур в органы Общества по причине опечаток и иных несущественных недостатков в предложении акционера.</w:t>
            </w:r>
          </w:p>
        </w:tc>
        <w:tc>
          <w:tcPr>
            <w:tcW w:w="2692" w:type="dxa"/>
          </w:tcPr>
          <w:p w:rsidR="00C81778" w:rsidRDefault="00AB0D4E">
            <w:pPr>
              <w:spacing w:after="200" w:line="276" w:lineRule="auto"/>
              <w:jc w:val="both"/>
              <w:rPr>
                <w:rFonts w:ascii="Arial" w:eastAsia="Calibri" w:hAnsi="Arial" w:cs="Times New Roman"/>
                <w:sz w:val="18"/>
              </w:rPr>
            </w:pPr>
            <w:r>
              <w:rPr>
                <w:rFonts w:ascii="Arial" w:eastAsia="Times New Roman" w:hAnsi="Arial" w:cs="Arial"/>
                <w:sz w:val="18"/>
                <w:szCs w:val="18"/>
              </w:rPr>
              <w:t>Соблюдается.</w:t>
            </w:r>
          </w:p>
        </w:tc>
        <w:tc>
          <w:tcPr>
            <w:tcW w:w="3966" w:type="dxa"/>
          </w:tcPr>
          <w:p w:rsidR="00C81778" w:rsidRDefault="00AB0D4E">
            <w:pPr>
              <w:widowControl w:val="0"/>
              <w:spacing w:after="200" w:line="276" w:lineRule="auto"/>
              <w:contextualSpacing/>
              <w:rPr>
                <w:rFonts w:ascii="Arial" w:eastAsia="Calibri" w:hAnsi="Arial" w:cs="Arial"/>
                <w:sz w:val="18"/>
                <w:szCs w:val="18"/>
                <w:u w:val="single"/>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u w:val="single"/>
              </w:rPr>
              <w:t>Критерий 2: соблюдается.</w:t>
            </w: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1.1.5</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Каждый акционер имел возможность беспрепятственно реализовать право голоса самым простым и удобным для него способом</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26"/>
              </w:numPr>
              <w:tabs>
                <w:tab w:val="left" w:pos="317"/>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 Уставом Общества предусмотрена возможность заполнения электронной формы бюллетеня на сайте в сети Интернет, адрес которого указан в сообщении о проведении Общего собрания акционеров</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Соблюдается.</w:t>
            </w:r>
          </w:p>
        </w:tc>
        <w:tc>
          <w:tcPr>
            <w:tcW w:w="3966" w:type="dxa"/>
            <w:shd w:val="clear" w:color="auto" w:fill="DBE5F1"/>
          </w:tcPr>
          <w:p w:rsidR="00C81778" w:rsidRDefault="00AB0D4E">
            <w:pPr>
              <w:spacing w:after="200" w:line="276" w:lineRule="auto"/>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1.1.6</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Установленный </w:t>
            </w:r>
            <w:r>
              <w:rPr>
                <w:rFonts w:ascii="Arial" w:eastAsia="Times New Roman" w:hAnsi="Arial" w:cs="Arial"/>
                <w:sz w:val="18"/>
                <w:szCs w:val="18"/>
              </w:rPr>
              <w:t>Обществом</w:t>
            </w:r>
            <w:r>
              <w:rPr>
                <w:rFonts w:ascii="Arial" w:eastAsia="Calibri" w:hAnsi="Arial" w:cs="Times New Roman"/>
                <w:sz w:val="18"/>
              </w:rPr>
              <w:t xml:space="preserve"> порядок ведения Общего собрания обеспечивает равную возможность всем лицам, присутствующим на собрании, высказать свое мнение и задать интересующие их вопросы</w:t>
            </w:r>
            <w:r>
              <w:rPr>
                <w:rFonts w:ascii="Arial" w:eastAsia="Times New Roman" w:hAnsi="Arial" w:cs="Arial"/>
                <w:sz w:val="18"/>
                <w:szCs w:val="18"/>
              </w:rPr>
              <w:t>.</w:t>
            </w:r>
          </w:p>
        </w:tc>
        <w:tc>
          <w:tcPr>
            <w:tcW w:w="3827" w:type="dxa"/>
          </w:tcPr>
          <w:p w:rsidR="00C81778" w:rsidRDefault="00AB0D4E" w:rsidP="00AB0D4E">
            <w:pPr>
              <w:widowControl w:val="0"/>
              <w:numPr>
                <w:ilvl w:val="0"/>
                <w:numId w:val="27"/>
              </w:numPr>
              <w:tabs>
                <w:tab w:val="left" w:pos="403"/>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При проведении в отчетном периоде общих собраний акционеров в форме собрания (совместного присутствия акционеров) предусматривалось достаточное время для докладов по вопросам повестки дня и время для обсуждения этих вопросов, акционерам была предоставлена возможность высказать свое мнение и задать интересующие их вопросы по повестке дня.</w:t>
            </w:r>
          </w:p>
          <w:p w:rsidR="00C81778" w:rsidRDefault="00AB0D4E" w:rsidP="00AB0D4E">
            <w:pPr>
              <w:widowControl w:val="0"/>
              <w:numPr>
                <w:ilvl w:val="0"/>
                <w:numId w:val="28"/>
              </w:numPr>
              <w:tabs>
                <w:tab w:val="left" w:pos="403"/>
              </w:tabs>
              <w:spacing w:after="0" w:line="240" w:lineRule="auto"/>
              <w:ind w:left="28" w:firstLine="0"/>
              <w:jc w:val="both"/>
              <w:rPr>
                <w:rFonts w:ascii="Arial" w:eastAsia="Times New Roman" w:hAnsi="Arial" w:cs="Arial"/>
                <w:sz w:val="20"/>
                <w:szCs w:val="20"/>
                <w:lang w:eastAsia="ru-RU"/>
              </w:rPr>
            </w:pPr>
            <w:r>
              <w:rPr>
                <w:rFonts w:ascii="Arial" w:eastAsia="Calibri" w:hAnsi="Arial" w:cs="Times New Roman"/>
                <w:sz w:val="18"/>
              </w:rPr>
              <w:t>Обществом были приглашены кандидаты</w:t>
            </w:r>
            <w:r>
              <w:rPr>
                <w:rFonts w:ascii="Arial" w:eastAsia="Times New Roman" w:hAnsi="Arial" w:cs="Arial"/>
                <w:sz w:val="20"/>
                <w:szCs w:val="20"/>
                <w:lang w:eastAsia="ru-RU"/>
              </w:rPr>
              <w:t xml:space="preserve"> </w:t>
            </w:r>
            <w:r>
              <w:rPr>
                <w:rFonts w:ascii="Arial" w:eastAsia="Times New Roman" w:hAnsi="Arial" w:cs="Arial"/>
                <w:sz w:val="18"/>
                <w:szCs w:val="20"/>
                <w:lang w:eastAsia="ru-RU"/>
              </w:rPr>
              <w:t>в органы управления и контроля Общества</w:t>
            </w:r>
            <w:r>
              <w:rPr>
                <w:rFonts w:ascii="Arial" w:eastAsia="Times New Roman" w:hAnsi="Arial" w:cs="Arial"/>
                <w:sz w:val="20"/>
                <w:szCs w:val="20"/>
                <w:lang w:eastAsia="ru-RU"/>
              </w:rPr>
              <w:t xml:space="preserve"> </w:t>
            </w:r>
            <w:r>
              <w:rPr>
                <w:rFonts w:ascii="Arial" w:eastAsia="Calibri" w:hAnsi="Arial" w:cs="Times New Roman"/>
                <w:sz w:val="18"/>
              </w:rPr>
              <w:t>и предприняты все необходимые меры для обеспечения их участия в Общем</w:t>
            </w:r>
            <w:r>
              <w:rPr>
                <w:rFonts w:ascii="Arial" w:eastAsia="Times New Roman" w:hAnsi="Arial" w:cs="Arial"/>
                <w:sz w:val="20"/>
                <w:szCs w:val="20"/>
                <w:lang w:eastAsia="ru-RU"/>
              </w:rPr>
              <w:t xml:space="preserve"> </w:t>
            </w:r>
            <w:r>
              <w:rPr>
                <w:rFonts w:ascii="Arial" w:eastAsia="Times New Roman" w:hAnsi="Arial" w:cs="Arial"/>
                <w:sz w:val="18"/>
                <w:szCs w:val="20"/>
                <w:lang w:eastAsia="ru-RU"/>
              </w:rPr>
              <w:t>собрании акционеров, на котором их кандидатуры были поставлены на голосование.</w:t>
            </w:r>
            <w:r>
              <w:rPr>
                <w:rFonts w:ascii="Arial" w:eastAsia="Times New Roman" w:hAnsi="Arial" w:cs="Arial"/>
                <w:sz w:val="20"/>
                <w:szCs w:val="20"/>
                <w:lang w:eastAsia="ru-RU"/>
              </w:rPr>
              <w:t xml:space="preserve"> </w:t>
            </w:r>
            <w:r>
              <w:rPr>
                <w:rFonts w:ascii="Arial" w:eastAsia="Times New Roman" w:hAnsi="Arial" w:cs="Arial"/>
                <w:sz w:val="18"/>
                <w:szCs w:val="20"/>
                <w:lang w:eastAsia="ru-RU"/>
              </w:rPr>
              <w:t xml:space="preserve">Присутствовавшие на Общем собрании акционеров кандидаты в органы управления и контроля Общества </w:t>
            </w:r>
            <w:r>
              <w:rPr>
                <w:rFonts w:ascii="Arial" w:eastAsia="Times New Roman" w:hAnsi="Arial" w:cs="Arial"/>
                <w:sz w:val="18"/>
                <w:szCs w:val="20"/>
                <w:lang w:eastAsia="ru-RU"/>
              </w:rPr>
              <w:lastRenderedPageBreak/>
              <w:t>были доступны для ответов на вопросы акционеров.</w:t>
            </w:r>
          </w:p>
          <w:p w:rsidR="00C81778" w:rsidRDefault="00AB0D4E" w:rsidP="00AB0D4E">
            <w:pPr>
              <w:widowControl w:val="0"/>
              <w:numPr>
                <w:ilvl w:val="0"/>
                <w:numId w:val="29"/>
              </w:numPr>
              <w:tabs>
                <w:tab w:val="left" w:pos="294"/>
              </w:tabs>
              <w:spacing w:after="0" w:line="240" w:lineRule="auto"/>
              <w:ind w:left="0" w:firstLine="0"/>
              <w:contextualSpacing/>
              <w:jc w:val="both"/>
              <w:rPr>
                <w:rFonts w:ascii="Arial" w:eastAsia="Times New Roman" w:hAnsi="Arial" w:cs="Arial"/>
                <w:sz w:val="18"/>
                <w:szCs w:val="20"/>
                <w:lang w:eastAsia="ru-RU"/>
              </w:rPr>
            </w:pPr>
            <w:r>
              <w:rPr>
                <w:rFonts w:ascii="Arial" w:eastAsia="Times New Roman" w:hAnsi="Arial" w:cs="Arial"/>
                <w:sz w:val="18"/>
                <w:szCs w:val="20"/>
                <w:lang w:eastAsia="ru-RU"/>
              </w:rPr>
              <w:t>Единоличный исполнительный орган, лицо, ответственное за ведение бухгалтерского учета, председатель или иные члены комитета Совета директоров по аудиту были доступны для ответов на вопросы акционеров на общих собраниях акционеров, проведенных в отчетном периоде.</w:t>
            </w:r>
          </w:p>
          <w:p w:rsidR="00C81778" w:rsidRDefault="00AB0D4E" w:rsidP="00AB0D4E">
            <w:pPr>
              <w:widowControl w:val="0"/>
              <w:numPr>
                <w:ilvl w:val="0"/>
                <w:numId w:val="30"/>
              </w:numPr>
              <w:tabs>
                <w:tab w:val="left" w:pos="294"/>
              </w:tabs>
              <w:spacing w:after="0" w:line="240" w:lineRule="auto"/>
              <w:ind w:left="0" w:firstLine="0"/>
              <w:contextualSpacing/>
              <w:jc w:val="both"/>
              <w:rPr>
                <w:rFonts w:ascii="Arial" w:eastAsia="Calibri" w:hAnsi="Arial" w:cs="Times New Roman"/>
                <w:sz w:val="18"/>
              </w:rPr>
            </w:pPr>
            <w:r>
              <w:rPr>
                <w:rFonts w:ascii="Arial" w:eastAsia="Times New Roman" w:hAnsi="Arial" w:cs="Arial"/>
                <w:sz w:val="18"/>
                <w:szCs w:val="20"/>
                <w:lang w:eastAsia="ru-RU"/>
              </w:rPr>
              <w:t>В отчетном периоде Общество использовало телекоммуникационные средства для обеспечения дистанционного доступа акционеров для участия в общих собраниях либо Советом директоров было принято обоснованное решение об отсутствии необходимости (возможности) использования таких средств в отчетном периоде.</w:t>
            </w:r>
          </w:p>
        </w:tc>
        <w:tc>
          <w:tcPr>
            <w:tcW w:w="2692" w:type="dxa"/>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rPr>
              <w:lastRenderedPageBreak/>
              <w:t xml:space="preserve">Частично </w:t>
            </w:r>
            <w:r>
              <w:rPr>
                <w:rFonts w:ascii="Arial" w:eastAsia="Calibri" w:hAnsi="Arial" w:cs="Times New Roman"/>
                <w:sz w:val="18"/>
              </w:rPr>
              <w:t>соблюдается</w:t>
            </w:r>
          </w:p>
        </w:tc>
        <w:tc>
          <w:tcPr>
            <w:tcW w:w="3966" w:type="dxa"/>
          </w:tcPr>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Calibri" w:hAnsi="Arial" w:cs="Arial"/>
                <w:sz w:val="18"/>
                <w:szCs w:val="18"/>
                <w:u w:val="single"/>
              </w:rPr>
              <w:t>Критерий 1: не соблюдается.</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В соответствии со ст. 2 и ст. 3 Федерального закона от 25.02.2022 № 25-ФЗ "О внесении изменений в Федеральный закон "Об акционерных обществах" и о приостановлении действия отдельных положений законодательных актов Российской Федерации" Совет директоров ПАО «ОГК- 2» 22.05.2023 принял решение о проведении годового Общего собрания акционеров ПАО «ОГК-2» в форме заочного голосования, также Совет директоров ПАО «ОГК- 2» 04.09.2023 принял решение о проведении внеочередного Общего собрания акционеров ПАО «ОГК-2» в форме заочного голосования.</w:t>
            </w:r>
          </w:p>
          <w:p w:rsidR="00C81778" w:rsidRDefault="00AB0D4E">
            <w:pPr>
              <w:widowControl w:val="0"/>
              <w:spacing w:after="200" w:line="276" w:lineRule="auto"/>
              <w:contextualSpacing/>
              <w:jc w:val="both"/>
              <w:rPr>
                <w:rFonts w:ascii="Arial" w:hAnsi="Arial" w:cs="Arial"/>
                <w:sz w:val="18"/>
                <w:szCs w:val="18"/>
              </w:rPr>
            </w:pPr>
            <w:r>
              <w:rPr>
                <w:rFonts w:ascii="Arial" w:eastAsia="Times New Roman" w:hAnsi="Arial" w:cs="Arial"/>
                <w:sz w:val="18"/>
                <w:szCs w:val="18"/>
              </w:rPr>
              <w:t xml:space="preserve">В связи с чем критерий оценки соблюдения </w:t>
            </w:r>
            <w:r>
              <w:rPr>
                <w:rFonts w:ascii="Arial" w:eastAsia="Times New Roman" w:hAnsi="Arial" w:cs="Arial"/>
                <w:sz w:val="18"/>
                <w:szCs w:val="18"/>
              </w:rPr>
              <w:lastRenderedPageBreak/>
              <w:t>принципа корпоративного управления 1 настоящего пункта не был соблюден. При этом в соответствии со ст.8 Положения об Общем собрании акционеров ПАО «ОГК-2» предусмотрено достаточное время для докладов по вопросам повестки дня и время для обсуждения этих вопросов. Выполнение данного критерия в дальнейшем будет реализовано при условии принятия Советом директоров Общества решения о созыве Общего собрания акционеров ПАО «ОГК-2» в форме собрания (совместного присутствия).</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При этом критерий 1 соблюдался Обществом ранее, при проведении общих собраний акционеров в форме собрания (совместного присутствия). Данное несоответствие критерию 1 является ограниченным по времени, и Общество намерено восстановить его соблюдение после прекращения действия поправок в ФЗ «Об акционерных обществах» и возобновления практики проведения общих собраний акционеров в форме собрания (совместного присутствия).</w:t>
            </w:r>
          </w:p>
          <w:p w:rsidR="00C81778" w:rsidRDefault="00C81778">
            <w:pPr>
              <w:widowControl w:val="0"/>
              <w:spacing w:after="200" w:line="276" w:lineRule="auto"/>
              <w:contextualSpacing/>
              <w:jc w:val="both"/>
              <w:rPr>
                <w:rFonts w:ascii="Arial" w:eastAsia="Times New Roman" w:hAnsi="Arial" w:cs="Arial"/>
                <w:sz w:val="18"/>
                <w:szCs w:val="18"/>
              </w:rPr>
            </w:pP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Calibri" w:hAnsi="Arial" w:cs="Arial"/>
                <w:sz w:val="18"/>
                <w:szCs w:val="18"/>
                <w:u w:val="single"/>
              </w:rPr>
              <w:t>Критерий 2: не соблюдается.</w:t>
            </w:r>
          </w:p>
          <w:p w:rsidR="00C81778" w:rsidRDefault="00AB0D4E">
            <w:pPr>
              <w:spacing w:after="200" w:line="276" w:lineRule="auto"/>
              <w:jc w:val="both"/>
              <w:rPr>
                <w:rFonts w:ascii="Arial" w:hAnsi="Arial" w:cs="Arial"/>
                <w:sz w:val="18"/>
                <w:szCs w:val="18"/>
                <w:lang w:eastAsia="ar-SA"/>
              </w:rPr>
            </w:pPr>
            <w:r>
              <w:rPr>
                <w:rFonts w:ascii="Arial" w:eastAsia="Calibri" w:hAnsi="Arial" w:cs="Arial"/>
                <w:sz w:val="18"/>
                <w:szCs w:val="18"/>
                <w:lang w:eastAsia="ar-SA"/>
              </w:rPr>
              <w:t xml:space="preserve">В соответствии со ст. 3 Федерального закона от 25.02.2022 № 25-ФЗ «О внесении изменений в Федеральный закон «Об акционерных обществах» и о приостановлении действия отдельных положений законодательных актов Российской Федерации», общие собрания акционеров, (в том числе и собрание, в повестку дня которого входил вопрос об избрании Совета директоров и Ревизионной комиссии) в отчетном году проводились в форме заочного голосования, в связи с чем кандидаты в органы управления и контроля </w:t>
            </w:r>
            <w:r>
              <w:rPr>
                <w:rFonts w:ascii="Arial" w:eastAsia="Calibri" w:hAnsi="Arial" w:cs="Arial"/>
                <w:sz w:val="18"/>
                <w:szCs w:val="18"/>
                <w:lang w:eastAsia="ar-SA"/>
              </w:rPr>
              <w:lastRenderedPageBreak/>
              <w:t>Общества в отчетном году не принимали участия в Общем собрании акционеров, на котором их кандидатуры были поставлены на голосование. В качестве альтернативных мер, в целях предоставления возможностей акционерам задать кандидатам интересующие их вопросы, на официальном сайте Общества указан адрес электронной почты и контактный телефон для обращений акционеров. Дополнительно Обществом на своем интернет-сайте в публичном доступе организован раздел «Часто задаваемые вопросы», поддерживаемый Обществом в актуальном состоянии, на котором размещаются наиболее частые вопросы, регулярно получаемые Обществом при проведении собраний.</w:t>
            </w:r>
            <w:r>
              <w:rPr>
                <w:rFonts w:eastAsia="Calibri" w:cs="Times New Roman"/>
                <w:sz w:val="20"/>
                <w:szCs w:val="20"/>
              </w:rPr>
              <w:t xml:space="preserve"> </w:t>
            </w:r>
            <w:r>
              <w:rPr>
                <w:rFonts w:ascii="Arial" w:eastAsia="Calibri" w:hAnsi="Arial" w:cs="Arial"/>
                <w:sz w:val="18"/>
                <w:szCs w:val="18"/>
                <w:lang w:eastAsia="ar-SA"/>
              </w:rPr>
              <w:t>Также в составе материалов к Общему собранию акционеров, Общество раскрывает необходимую информацию о квалификации и опыте работы кандидатов, которая позволяет акционерам принять обоснованное решение.</w:t>
            </w:r>
          </w:p>
          <w:p w:rsidR="00C81778" w:rsidRDefault="00AB0D4E">
            <w:pPr>
              <w:spacing w:after="200" w:line="276" w:lineRule="auto"/>
              <w:jc w:val="both"/>
              <w:rPr>
                <w:rFonts w:ascii="Arial" w:eastAsia="Times New Roman" w:hAnsi="Arial" w:cs="Arial"/>
                <w:sz w:val="18"/>
                <w:szCs w:val="18"/>
                <w:lang w:eastAsia="ar-SA"/>
              </w:rPr>
            </w:pPr>
            <w:r>
              <w:rPr>
                <w:rFonts w:ascii="Arial" w:eastAsia="Times New Roman" w:hAnsi="Arial" w:cs="Arial"/>
                <w:sz w:val="18"/>
                <w:szCs w:val="18"/>
                <w:lang w:eastAsia="ar-SA"/>
              </w:rPr>
              <w:t>Данное несоответствие критерию 2 является ограниченным по времени, и Общество намерено восстановить его соблюдение после прекращения действия поправок в ФЗ «Об акционерных обществах» и возобновления практики проведения общих собраний акционеров в форме собрания (совместного присутствия).</w:t>
            </w:r>
          </w:p>
          <w:p w:rsidR="00C81778" w:rsidRDefault="00AB0D4E">
            <w:pPr>
              <w:spacing w:after="200" w:line="276" w:lineRule="auto"/>
              <w:jc w:val="both"/>
              <w:rPr>
                <w:rFonts w:ascii="Arial" w:eastAsia="Times New Roman" w:hAnsi="Arial" w:cs="Arial"/>
                <w:sz w:val="18"/>
                <w:szCs w:val="18"/>
              </w:rPr>
            </w:pPr>
            <w:r>
              <w:rPr>
                <w:rFonts w:ascii="Arial" w:eastAsia="Calibri" w:hAnsi="Arial" w:cs="Arial"/>
                <w:sz w:val="18"/>
                <w:szCs w:val="18"/>
                <w:u w:val="single"/>
              </w:rPr>
              <w:t>Критерий 3: не соблюдается.</w:t>
            </w:r>
          </w:p>
          <w:p w:rsidR="00C81778" w:rsidRDefault="00AB0D4E">
            <w:pPr>
              <w:spacing w:after="200" w:line="276" w:lineRule="auto"/>
              <w:jc w:val="both"/>
              <w:rPr>
                <w:rFonts w:ascii="Arial" w:hAnsi="Arial" w:cs="Arial"/>
                <w:sz w:val="18"/>
                <w:szCs w:val="18"/>
                <w:lang w:eastAsia="ar-SA"/>
              </w:rPr>
            </w:pPr>
            <w:r>
              <w:rPr>
                <w:rFonts w:ascii="Arial" w:eastAsia="Calibri" w:hAnsi="Arial" w:cs="Arial"/>
                <w:sz w:val="18"/>
                <w:szCs w:val="18"/>
                <w:lang w:eastAsia="ar-SA"/>
              </w:rPr>
              <w:t xml:space="preserve">В соответствии со ст. 3 Федерального закона от 25.02.2022 № 25-ФЗ «О внесении изменений в Федеральный закон «Об акционерных обществах» и о приостановлении действия отдельных </w:t>
            </w:r>
            <w:r>
              <w:rPr>
                <w:rFonts w:ascii="Arial" w:eastAsia="Calibri" w:hAnsi="Arial" w:cs="Arial"/>
                <w:sz w:val="18"/>
                <w:szCs w:val="18"/>
                <w:lang w:eastAsia="ar-SA"/>
              </w:rPr>
              <w:lastRenderedPageBreak/>
              <w:t>положений законодательных актов Российской Федерации», общие собрания акционеров в отчетном году проводились в форме заочного голосования, в связи с чем Единоличный исполнительный орган, Главный бухгалтер, Председатель или иные члены Комитета Совета директоров по аудиту в отчетном году не были доступны для ответов на вопросы акционеров на общих собраниях акционеров, проведенных в отчетном периоде.</w:t>
            </w:r>
          </w:p>
          <w:p w:rsidR="00C81778" w:rsidRDefault="00AB0D4E">
            <w:pPr>
              <w:spacing w:after="200" w:line="276" w:lineRule="auto"/>
              <w:jc w:val="both"/>
              <w:rPr>
                <w:rFonts w:ascii="Arial" w:hAnsi="Arial" w:cs="Arial"/>
                <w:sz w:val="18"/>
                <w:szCs w:val="18"/>
                <w:lang w:eastAsia="ar-SA"/>
              </w:rPr>
            </w:pPr>
            <w:r>
              <w:rPr>
                <w:rFonts w:ascii="Arial" w:eastAsia="Calibri" w:hAnsi="Arial" w:cs="Arial"/>
                <w:sz w:val="18"/>
                <w:szCs w:val="18"/>
                <w:lang w:eastAsia="ar-SA"/>
              </w:rPr>
              <w:t>В качестве альтернативных мер, в целях предоставления возможностей акционерам задать менеджменту Общества интересующие их вопросы, на официальном сайте Общества указан адрес электронной почты и контактный телефон для обращений акционеров.</w:t>
            </w:r>
          </w:p>
          <w:p w:rsidR="00C81778" w:rsidRDefault="00AB0D4E">
            <w:pPr>
              <w:spacing w:after="200" w:line="276" w:lineRule="auto"/>
              <w:jc w:val="both"/>
              <w:rPr>
                <w:rFonts w:ascii="Arial" w:eastAsia="Times New Roman" w:hAnsi="Arial" w:cs="Arial"/>
                <w:sz w:val="18"/>
                <w:szCs w:val="18"/>
                <w:lang w:eastAsia="ar-SA"/>
              </w:rPr>
            </w:pPr>
            <w:r>
              <w:rPr>
                <w:rFonts w:ascii="Arial" w:eastAsia="Times New Roman" w:hAnsi="Arial" w:cs="Arial"/>
                <w:sz w:val="18"/>
                <w:szCs w:val="18"/>
                <w:lang w:eastAsia="ar-SA"/>
              </w:rPr>
              <w:t>Данное несоответствие критерию 3 является ограниченным по времени, и Общество намерено восстановить его соблюдение после прекращения действия поправок в ФЗ «Об акционерных обществах» и возобновления практики проведения общих собраний акционеров в форме собрания (совместного присутствия).</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Calibri" w:hAnsi="Arial" w:cs="Arial"/>
                <w:sz w:val="18"/>
                <w:szCs w:val="18"/>
                <w:u w:val="single"/>
              </w:rPr>
              <w:t>Критерий 4: соблюдается.</w:t>
            </w:r>
          </w:p>
          <w:p w:rsidR="00C81778" w:rsidRDefault="00C81778">
            <w:pPr>
              <w:spacing w:after="200" w:line="276" w:lineRule="auto"/>
              <w:jc w:val="both"/>
              <w:rPr>
                <w:rFonts w:ascii="Arial" w:eastAsia="Times New Roman" w:hAnsi="Arial" w:cs="Arial"/>
                <w:sz w:val="18"/>
                <w:szCs w:val="20"/>
                <w:lang w:eastAsia="ru-RU"/>
              </w:rPr>
            </w:pP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1.2</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Акционерам предоставлена равная и справедливая возможность участвовать в прибыли </w:t>
            </w:r>
            <w:r>
              <w:rPr>
                <w:rFonts w:ascii="Arial" w:eastAsia="Calibri" w:hAnsi="Arial" w:cs="Arial"/>
                <w:b/>
                <w:sz w:val="18"/>
                <w:szCs w:val="18"/>
              </w:rPr>
              <w:t>Общества</w:t>
            </w:r>
            <w:r>
              <w:rPr>
                <w:rFonts w:ascii="Arial" w:eastAsia="Calibri" w:hAnsi="Arial" w:cs="Times New Roman"/>
                <w:b/>
                <w:sz w:val="18"/>
              </w:rPr>
              <w:t xml:space="preserve"> посредством получения дивидендов</w:t>
            </w:r>
            <w:r>
              <w:rPr>
                <w:rFonts w:ascii="Arial" w:eastAsia="Calibri" w:hAnsi="Arial" w:cs="Arial"/>
                <w:b/>
                <w:sz w:val="18"/>
                <w:szCs w:val="18"/>
              </w:rPr>
              <w:t>.</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1.2.1</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Общество разработало и внедрило прозрачный и понятный механизм определения размера дивидендов и их выплаты</w:t>
            </w:r>
            <w:r>
              <w:rPr>
                <w:rFonts w:ascii="Arial" w:eastAsia="Times New Roman" w:hAnsi="Arial" w:cs="Arial"/>
                <w:sz w:val="18"/>
                <w:szCs w:val="18"/>
              </w:rPr>
              <w:t>.</w:t>
            </w:r>
          </w:p>
        </w:tc>
        <w:tc>
          <w:tcPr>
            <w:tcW w:w="3827" w:type="dxa"/>
            <w:shd w:val="clear" w:color="auto" w:fill="auto"/>
          </w:tcPr>
          <w:p w:rsidR="00C81778" w:rsidRDefault="00AB0D4E">
            <w:pPr>
              <w:widowControl w:val="0"/>
              <w:tabs>
                <w:tab w:val="left" w:pos="240"/>
              </w:tabs>
              <w:spacing w:after="200" w:line="276" w:lineRule="auto"/>
              <w:jc w:val="both"/>
              <w:rPr>
                <w:rFonts w:ascii="Arial" w:eastAsia="Times New Roman" w:hAnsi="Arial" w:cs="Arial"/>
                <w:sz w:val="18"/>
                <w:szCs w:val="20"/>
                <w:lang w:eastAsia="ru-RU"/>
              </w:rPr>
            </w:pPr>
            <w:r>
              <w:rPr>
                <w:rFonts w:ascii="Arial" w:eastAsia="Times New Roman" w:hAnsi="Arial" w:cs="Arial"/>
                <w:sz w:val="18"/>
                <w:szCs w:val="20"/>
                <w:lang w:eastAsia="ru-RU"/>
              </w:rPr>
              <w:t>1. Положение о дивидендной политике общества утверждено Советом директоров и раскрыто на сайте общества в сети Интернет.</w:t>
            </w:r>
          </w:p>
          <w:p w:rsidR="00C81778" w:rsidRDefault="00AB0D4E">
            <w:pPr>
              <w:widowControl w:val="0"/>
              <w:spacing w:after="200" w:line="276" w:lineRule="auto"/>
              <w:ind w:firstLine="28"/>
              <w:jc w:val="both"/>
              <w:rPr>
                <w:rFonts w:ascii="Arial" w:eastAsia="Times New Roman" w:hAnsi="Arial" w:cs="Arial"/>
                <w:sz w:val="18"/>
                <w:szCs w:val="20"/>
                <w:lang w:eastAsia="ru-RU"/>
              </w:rPr>
            </w:pPr>
            <w:r>
              <w:rPr>
                <w:rFonts w:ascii="Arial" w:eastAsia="Times New Roman" w:hAnsi="Arial" w:cs="Arial"/>
                <w:sz w:val="20"/>
                <w:szCs w:val="20"/>
                <w:lang w:eastAsia="ru-RU"/>
              </w:rPr>
              <w:t xml:space="preserve">2. </w:t>
            </w:r>
            <w:r>
              <w:rPr>
                <w:rFonts w:ascii="Arial" w:eastAsia="Times New Roman" w:hAnsi="Arial" w:cs="Arial"/>
                <w:sz w:val="18"/>
                <w:szCs w:val="20"/>
                <w:lang w:eastAsia="ru-RU"/>
              </w:rPr>
              <w:t xml:space="preserve">Если дивидендная политика Общества, составляющего консолидированную финансовую отчетность, использует </w:t>
            </w:r>
            <w:r>
              <w:rPr>
                <w:rFonts w:ascii="Arial" w:eastAsia="Times New Roman" w:hAnsi="Arial" w:cs="Arial"/>
                <w:sz w:val="18"/>
                <w:szCs w:val="20"/>
                <w:lang w:eastAsia="ru-RU"/>
              </w:rPr>
              <w:lastRenderedPageBreak/>
              <w:t>показатели отчетности Общества для определения размера дивидендов, то соответствующие положения дивидендной политики учитывают консолидированные показатели финансовой отчетности.</w:t>
            </w:r>
          </w:p>
          <w:p w:rsidR="00C81778" w:rsidRDefault="00AB0D4E">
            <w:pPr>
              <w:widowControl w:val="0"/>
              <w:spacing w:after="200" w:line="276" w:lineRule="auto"/>
              <w:ind w:firstLine="28"/>
              <w:jc w:val="both"/>
              <w:rPr>
                <w:rFonts w:ascii="Arial" w:eastAsia="Times New Roman" w:hAnsi="Arial" w:cs="Arial"/>
                <w:sz w:val="18"/>
                <w:szCs w:val="20"/>
                <w:lang w:eastAsia="ru-RU"/>
              </w:rPr>
            </w:pPr>
            <w:r>
              <w:rPr>
                <w:rFonts w:ascii="Arial" w:eastAsia="Times New Roman" w:hAnsi="Arial" w:cs="Arial"/>
                <w:sz w:val="18"/>
                <w:szCs w:val="20"/>
                <w:lang w:eastAsia="ru-RU"/>
              </w:rPr>
              <w:t>3. Обоснование предлагаемого распределения чистой прибыли, в том числе на выплату дивидендов и собственные нужды Общества, и оценка его соответствия принятой в Обществе дивидендной политике, с пояснениями и экономическим обоснованием потребности в направлении определенной части чистой прибыли на собственные нужды в отчетном периоде были включены в состав материалов к Общему собранию акционеров, в повестку дня которого включен вопрос о распределении прибыли (в том числе о выплате (объявлении) дивидендов).</w:t>
            </w:r>
          </w:p>
        </w:tc>
        <w:tc>
          <w:tcPr>
            <w:tcW w:w="2692" w:type="dxa"/>
            <w:shd w:val="clear" w:color="auto" w:fill="auto"/>
          </w:tcPr>
          <w:p w:rsidR="00C81778" w:rsidRDefault="00AB0D4E">
            <w:pPr>
              <w:widowControl w:val="0"/>
              <w:spacing w:after="0" w:line="240" w:lineRule="auto"/>
              <w:contextualSpacing/>
              <w:jc w:val="both"/>
              <w:rPr>
                <w:rFonts w:ascii="Arial" w:eastAsia="Calibri" w:hAnsi="Arial" w:cs="Times New Roman"/>
                <w:sz w:val="18"/>
              </w:rPr>
            </w:pPr>
            <w:r>
              <w:rPr>
                <w:rFonts w:ascii="Arial" w:eastAsia="Times New Roman" w:hAnsi="Arial" w:cs="Arial"/>
                <w:sz w:val="18"/>
                <w:szCs w:val="18"/>
              </w:rPr>
              <w:lastRenderedPageBreak/>
              <w:t>Соблюдается частично.</w:t>
            </w:r>
          </w:p>
        </w:tc>
        <w:tc>
          <w:tcPr>
            <w:tcW w:w="3966" w:type="dxa"/>
          </w:tcPr>
          <w:p w:rsidR="00C81778" w:rsidRDefault="00AB0D4E">
            <w:pPr>
              <w:widowControl w:val="0"/>
              <w:spacing w:after="200" w:line="276" w:lineRule="auto"/>
              <w:jc w:val="both"/>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AB0D4E">
            <w:pPr>
              <w:widowControl w:val="0"/>
              <w:spacing w:after="200" w:line="276" w:lineRule="auto"/>
              <w:jc w:val="both"/>
              <w:rPr>
                <w:rFonts w:ascii="Arial" w:eastAsia="Calibri" w:hAnsi="Arial" w:cs="Arial"/>
                <w:sz w:val="18"/>
                <w:szCs w:val="18"/>
                <w:u w:val="single"/>
              </w:rPr>
            </w:pPr>
            <w:r>
              <w:rPr>
                <w:rFonts w:ascii="Arial" w:eastAsia="Calibri" w:hAnsi="Arial" w:cs="Arial"/>
                <w:sz w:val="18"/>
                <w:szCs w:val="18"/>
                <w:u w:val="single"/>
              </w:rPr>
              <w:t>Критерий 2: частично соблюдается.</w:t>
            </w:r>
          </w:p>
          <w:p w:rsidR="00C81778" w:rsidRDefault="00AB0D4E">
            <w:pPr>
              <w:widowControl w:val="0"/>
              <w:spacing w:after="200" w:line="276" w:lineRule="auto"/>
              <w:jc w:val="both"/>
              <w:rPr>
                <w:rFonts w:ascii="Arial" w:eastAsia="Calibri" w:hAnsi="Arial" w:cs="Arial"/>
                <w:sz w:val="18"/>
                <w:szCs w:val="18"/>
              </w:rPr>
            </w:pPr>
            <w:r>
              <w:rPr>
                <w:rFonts w:ascii="Arial" w:eastAsia="Calibri" w:hAnsi="Arial" w:cs="Arial"/>
                <w:sz w:val="18"/>
                <w:szCs w:val="18"/>
              </w:rPr>
              <w:t xml:space="preserve">В действующем Положении о дивидендной политике Общества, утвержденной Советом директоров ПАО «ОГК-2» (протокол от 11.07.2023 № 303), для определения </w:t>
            </w:r>
            <w:r>
              <w:rPr>
                <w:rFonts w:ascii="Arial" w:eastAsia="Calibri" w:hAnsi="Arial" w:cs="Arial"/>
                <w:sz w:val="18"/>
                <w:szCs w:val="18"/>
              </w:rPr>
              <w:lastRenderedPageBreak/>
              <w:t>размера дивидендов учитываются данные бухгалтерской (финансовой) отчетности, составленной по РСБУ</w:t>
            </w:r>
            <w:r>
              <w:rPr>
                <w:rFonts w:ascii="Arial" w:eastAsia="Calibri" w:hAnsi="Arial" w:cs="Arial"/>
                <w:bCs/>
                <w:sz w:val="18"/>
                <w:szCs w:val="18"/>
              </w:rPr>
              <w:t xml:space="preserve"> или по МСФО (</w:t>
            </w:r>
            <w:r>
              <w:rPr>
                <w:rFonts w:ascii="Arial" w:eastAsia="Calibri" w:hAnsi="Arial" w:cs="Arial"/>
                <w:sz w:val="18"/>
                <w:szCs w:val="18"/>
              </w:rPr>
              <w:t>консолидированные показатели).</w:t>
            </w:r>
          </w:p>
          <w:p w:rsidR="00C81778" w:rsidRDefault="00AB0D4E">
            <w:pPr>
              <w:widowControl w:val="0"/>
              <w:spacing w:after="200" w:line="276" w:lineRule="auto"/>
              <w:jc w:val="both"/>
              <w:rPr>
                <w:rFonts w:ascii="Arial" w:eastAsia="Calibri" w:hAnsi="Arial" w:cs="Arial"/>
                <w:sz w:val="18"/>
                <w:szCs w:val="18"/>
              </w:rPr>
            </w:pPr>
            <w:r>
              <w:rPr>
                <w:rFonts w:ascii="Arial" w:eastAsia="Calibri" w:hAnsi="Arial" w:cs="Arial"/>
                <w:sz w:val="18"/>
                <w:szCs w:val="18"/>
              </w:rPr>
              <w:t>Неполное соответствие критерию 2 исторически связано с требованиями законодательства РФ, касающимися дивидендов (ст. 102 ГК РФ и ст. 43 ФЗ «Об акционерных обществах»),</w:t>
            </w:r>
            <w:r>
              <w:rPr>
                <w:rFonts w:ascii="Arial Narrow" w:eastAsia="Calibri" w:hAnsi="Arial Narrow" w:cs="Arial"/>
                <w:color w:val="000000"/>
                <w:spacing w:val="-4"/>
                <w:sz w:val="18"/>
                <w:szCs w:val="18"/>
                <w:lang w:eastAsia="ru-RU"/>
              </w:rPr>
              <w:t xml:space="preserve"> </w:t>
            </w:r>
            <w:r>
              <w:rPr>
                <w:rFonts w:ascii="Arial" w:eastAsia="Calibri" w:hAnsi="Arial" w:cs="Arial"/>
                <w:sz w:val="18"/>
                <w:szCs w:val="18"/>
              </w:rPr>
              <w:t>которые оперируют данными РСБУ. Кроме того, в отчетном периоде, в связи с действующими ограничениями на раскрытие информации, Общество не раскрывало данные финансовой отчетности, составленной по МСФО. При этом на практике, при расчете размера дивидендов учитываются данные, содержащиеся в финансовой отчетности по МСФО.</w:t>
            </w:r>
          </w:p>
          <w:p w:rsidR="00C81778" w:rsidRDefault="00AB0D4E">
            <w:pPr>
              <w:widowControl w:val="0"/>
              <w:spacing w:after="200" w:line="276" w:lineRule="auto"/>
              <w:jc w:val="both"/>
              <w:rPr>
                <w:rFonts w:ascii="Arial" w:eastAsia="Calibri" w:hAnsi="Arial" w:cs="Arial"/>
                <w:sz w:val="18"/>
                <w:szCs w:val="18"/>
              </w:rPr>
            </w:pPr>
            <w:r>
              <w:rPr>
                <w:rFonts w:ascii="Arial" w:eastAsia="Calibri" w:hAnsi="Arial" w:cs="Arial"/>
                <w:sz w:val="18"/>
                <w:szCs w:val="18"/>
              </w:rPr>
              <w:t>Поскольку ПАО «ОГК-2» входит в Группу Газпром, управление в которой осуществляется по единым корпоративным стандартам, которым соответствует и действующее Положение о дивидендной политике, в ближайшее время корректировка данного документа не планируется. В то же время Общество, в целях дальнейшего совершенствования корпоративного управления, намерено продолжить в 2024 г. взаимодействие с основными акционерами в части приведения Положения о дивидендной политике в соответствие с данным принципом.</w:t>
            </w:r>
          </w:p>
          <w:p w:rsidR="00C81778" w:rsidRDefault="00AB0D4E">
            <w:pPr>
              <w:widowControl w:val="0"/>
              <w:spacing w:after="200" w:line="276" w:lineRule="auto"/>
              <w:jc w:val="both"/>
              <w:rPr>
                <w:rFonts w:ascii="Arial" w:eastAsia="Calibri" w:hAnsi="Arial" w:cs="Times New Roman"/>
                <w:sz w:val="18"/>
              </w:rPr>
            </w:pPr>
            <w:r>
              <w:rPr>
                <w:rFonts w:ascii="Arial" w:eastAsia="Calibri" w:hAnsi="Arial" w:cs="Arial"/>
                <w:sz w:val="18"/>
                <w:szCs w:val="18"/>
                <w:u w:val="single"/>
              </w:rPr>
              <w:t>Критерий 3: соблюдается.</w:t>
            </w: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1.2.2</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Общество не принимает решение о выплате дивидендов, если такое решение, формально не нарушая </w:t>
            </w:r>
            <w:r>
              <w:rPr>
                <w:rFonts w:ascii="Arial" w:eastAsia="Calibri" w:hAnsi="Arial" w:cs="Times New Roman"/>
                <w:sz w:val="18"/>
              </w:rPr>
              <w:lastRenderedPageBreak/>
              <w:t xml:space="preserve">ограничений, установленных законодательством, является экономически необоснованным и может привести к формированию ложных представлений о деятельности </w:t>
            </w:r>
            <w:r>
              <w:rPr>
                <w:rFonts w:ascii="Arial" w:eastAsia="Calibri" w:hAnsi="Arial" w:cs="Arial"/>
                <w:sz w:val="18"/>
                <w:szCs w:val="18"/>
              </w:rPr>
              <w:t>Общества.</w:t>
            </w:r>
          </w:p>
        </w:tc>
        <w:tc>
          <w:tcPr>
            <w:tcW w:w="3827" w:type="dxa"/>
            <w:shd w:val="clear" w:color="auto" w:fill="DBE5F1"/>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Times New Roman"/>
                <w:sz w:val="18"/>
              </w:rPr>
              <w:lastRenderedPageBreak/>
              <w:t xml:space="preserve">1. В Положении о дивидендной политике Общества помимо ограничений, установленных законодательством, </w:t>
            </w:r>
            <w:r>
              <w:rPr>
                <w:rFonts w:ascii="Arial" w:eastAsia="Calibri" w:hAnsi="Arial" w:cs="Times New Roman"/>
                <w:sz w:val="18"/>
              </w:rPr>
              <w:lastRenderedPageBreak/>
              <w:t>определены финансовые/экономические обстоятельства, при которых Обществу не следует принимать решение о выплате дивидендов.</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lastRenderedPageBreak/>
              <w:t>Соблюдается частично</w:t>
            </w:r>
          </w:p>
        </w:tc>
        <w:tc>
          <w:tcPr>
            <w:tcW w:w="3966" w:type="dxa"/>
            <w:shd w:val="clear" w:color="auto" w:fill="DBE5F1"/>
          </w:tcPr>
          <w:p w:rsidR="00C81778" w:rsidRDefault="00AB0D4E">
            <w:pPr>
              <w:widowControl w:val="0"/>
              <w:spacing w:after="200" w:line="276" w:lineRule="auto"/>
              <w:contextualSpacing/>
              <w:jc w:val="both"/>
              <w:rPr>
                <w:rFonts w:ascii="Arial" w:eastAsia="Calibri" w:hAnsi="Arial" w:cs="Arial"/>
                <w:sz w:val="18"/>
                <w:szCs w:val="18"/>
                <w:u w:val="single"/>
              </w:rPr>
            </w:pPr>
            <w:r>
              <w:rPr>
                <w:rFonts w:ascii="Arial" w:eastAsia="Calibri" w:hAnsi="Arial" w:cs="Arial"/>
                <w:sz w:val="18"/>
                <w:szCs w:val="18"/>
                <w:u w:val="single"/>
              </w:rPr>
              <w:t>Критерий 1: частично соблюдается.</w:t>
            </w:r>
          </w:p>
          <w:p w:rsidR="00C81778" w:rsidRDefault="00AB0D4E">
            <w:pPr>
              <w:widowControl w:val="0"/>
              <w:spacing w:after="200" w:line="276" w:lineRule="auto"/>
              <w:contextualSpacing/>
              <w:jc w:val="both"/>
              <w:rPr>
                <w:rFonts w:ascii="Arial" w:eastAsia="Calibri" w:hAnsi="Arial"/>
                <w:sz w:val="18"/>
              </w:rPr>
            </w:pPr>
            <w:r>
              <w:rPr>
                <w:rFonts w:ascii="Arial" w:eastAsia="Calibri" w:hAnsi="Arial" w:cs="Arial"/>
                <w:sz w:val="18"/>
              </w:rPr>
              <w:t xml:space="preserve">В Положении о дивидендной политике Общества не определены финансовые/ </w:t>
            </w:r>
            <w:r>
              <w:rPr>
                <w:rFonts w:ascii="Arial" w:eastAsia="Calibri" w:hAnsi="Arial" w:cs="Arial"/>
                <w:sz w:val="18"/>
              </w:rPr>
              <w:lastRenderedPageBreak/>
              <w:t>экономические обстоятельства, при которых Обществу не следует принимать решение о выплате дивидендов.</w:t>
            </w:r>
          </w:p>
          <w:p w:rsidR="00C81778" w:rsidRDefault="00AB0D4E">
            <w:pPr>
              <w:widowControl w:val="0"/>
              <w:spacing w:after="200" w:line="276" w:lineRule="auto"/>
              <w:contextualSpacing/>
              <w:jc w:val="both"/>
              <w:rPr>
                <w:rFonts w:ascii="Arial" w:eastAsia="Calibri" w:hAnsi="Arial"/>
                <w:sz w:val="18"/>
              </w:rPr>
            </w:pPr>
            <w:r>
              <w:rPr>
                <w:rFonts w:ascii="Arial" w:eastAsia="Calibri" w:hAnsi="Arial" w:cs="Times New Roman"/>
                <w:sz w:val="18"/>
              </w:rPr>
              <w:t>По мнению Общества, содержащееся в Положении о дивидендной политике ПАО «ОГК-2» условие о том, что размер дивидендов не может быть больше размера дивидендов, рекомендованного Советом директоров, позволяет в достаточной степени избежать рисков принятия экономически необоснованного решения о выплате дивидендов, поскольку рекомендуемый размер дивидендных выплат определяется Советом директоров с учетом как финансового состояния, так и согласованных в установленном порядке финансовых потребностей Общества, а также других факторов, которые влияют или могут повлиять как на деятельность Общества, так и на его финансовые результаты.</w:t>
            </w:r>
          </w:p>
          <w:p w:rsidR="00C81778" w:rsidRDefault="00AB0D4E">
            <w:pPr>
              <w:widowControl w:val="0"/>
              <w:spacing w:after="200" w:line="276" w:lineRule="auto"/>
              <w:contextualSpacing/>
              <w:jc w:val="both"/>
              <w:rPr>
                <w:rFonts w:ascii="Arial" w:eastAsia="Calibri" w:hAnsi="Arial"/>
                <w:sz w:val="18"/>
              </w:rPr>
            </w:pPr>
            <w:r>
              <w:rPr>
                <w:rFonts w:ascii="Arial" w:eastAsia="Calibri" w:hAnsi="Arial" w:cs="Arial"/>
                <w:sz w:val="18"/>
              </w:rPr>
              <w:t xml:space="preserve">Также в Положении о дивидендной политике установлено, что расчет размера дивидендов осуществляется исходя из чистой прибыли, скорректированной на: прибыль (убыток) по курсовым разницам, отражаемые в составе финансовых доходов и расходов; курсовые разницы по операционным статьям; убыток от обесценения (восстановление убытка от обесценения) объектов основных средств и незавершенного строительства, активов в форме права пользования; убыток от обесценения (восстановление убытка от обесценения) инвестиций в ассоциированные организации и совместные предприятия; сумму переоценки финансовых вложений; финансовый результат по виду деятельности "технологическое присоединение к </w:t>
            </w:r>
            <w:r>
              <w:rPr>
                <w:rFonts w:ascii="Arial" w:eastAsia="Calibri" w:hAnsi="Arial" w:cs="Arial"/>
                <w:sz w:val="18"/>
              </w:rPr>
              <w:lastRenderedPageBreak/>
              <w:t>тепловым сетям"; финансовый результат от соглашений по компенсации потерь и компенсации расходов за ликвидацию имущества; целевые средства, аккумулированные Обществом в составе доходов и предназначенные для реализации инвестиционной программы в том же отчетном периоде; разницу между долей в прибыли ассоциированных организаций и совместных предприятий и поступлениями от ассоциированных организаций и совместных предприятий.</w:t>
            </w:r>
          </w:p>
          <w:p w:rsidR="00C81778" w:rsidRDefault="00AB0D4E">
            <w:pPr>
              <w:widowControl w:val="0"/>
              <w:spacing w:after="200" w:line="276" w:lineRule="auto"/>
              <w:contextualSpacing/>
              <w:jc w:val="both"/>
              <w:rPr>
                <w:rFonts w:ascii="Arial" w:eastAsia="Calibri" w:hAnsi="Arial"/>
                <w:sz w:val="18"/>
              </w:rPr>
            </w:pPr>
            <w:r>
              <w:rPr>
                <w:rFonts w:ascii="Arial" w:eastAsia="Calibri" w:hAnsi="Arial" w:cs="Arial"/>
                <w:sz w:val="18"/>
              </w:rPr>
              <w:t>Кроме того, при расчете размера дивидендов соблюдаются следующие принципы: нормы законодательства Российской Федерации, Устава и внутренних документов Общества; права и интересы акционеров; стремление соответствовать высоким стандартам корпоративного управления; обеспечение максимальной прозрачности механизма определения размера дивидендов и их выплаты; сбалансированность краткосрочных (получение доходов) и долгосрочных (развитие Общества) интересов акционеров; нацеленность на повышение инвестиционной привлекательности и капитализации Общества; признание дивидендов в качестве одного из ключевых показателей инвестиционной привлекательности Общества.</w:t>
            </w:r>
          </w:p>
          <w:p w:rsidR="00C81778" w:rsidRDefault="00AB0D4E">
            <w:pPr>
              <w:widowControl w:val="0"/>
              <w:spacing w:after="200" w:line="276" w:lineRule="auto"/>
              <w:contextualSpacing/>
              <w:jc w:val="both"/>
              <w:rPr>
                <w:rFonts w:ascii="Arial" w:eastAsia="Calibri" w:hAnsi="Arial"/>
                <w:sz w:val="18"/>
              </w:rPr>
            </w:pPr>
            <w:r>
              <w:rPr>
                <w:rFonts w:ascii="Arial" w:eastAsia="Calibri" w:hAnsi="Arial" w:cs="Arial"/>
                <w:sz w:val="18"/>
              </w:rPr>
              <w:t xml:space="preserve">Дополнительно, планы распределения прибыли, включая выплату дивидендов, учитываются при разработке и утверждении Советом директоров бизнес-плана Общества. При этом во внимание принимаются текущая финансовая ситуация в Обществе, имеющиеся обязательства и реализуемые в Обществе программы </w:t>
            </w:r>
            <w:r>
              <w:rPr>
                <w:rFonts w:ascii="Arial" w:eastAsia="Calibri" w:hAnsi="Arial" w:cs="Arial"/>
                <w:sz w:val="18"/>
              </w:rPr>
              <w:lastRenderedPageBreak/>
              <w:t>развития.</w:t>
            </w:r>
          </w:p>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Times New Roman"/>
                <w:sz w:val="18"/>
              </w:rPr>
              <w:t xml:space="preserve">Поскольку ПАО «ОГК-2» входит в Группу Газпром, управление в которой осуществляется по единым корпоративным стандартам, которым соответствует и действующее Положение о дивидендной политике, в ближайшее время корректировка данного документа не планируется. </w:t>
            </w:r>
            <w:bookmarkStart w:id="39" w:name="_Hlk160183636"/>
            <w:r>
              <w:rPr>
                <w:rFonts w:ascii="Arial" w:eastAsia="Calibri" w:hAnsi="Arial" w:cs="Times New Roman"/>
                <w:sz w:val="18"/>
              </w:rPr>
              <w:t>В то же время Общество, в целях дальнейшего совершенствования корпоративного управления, намерено продолжить в 2024 г. взаимодействие с основными акционерами в части приведения Положения о дивидендной политике в соответствие с данным принципом</w:t>
            </w:r>
            <w:bookmarkEnd w:id="39"/>
            <w:r>
              <w:rPr>
                <w:rFonts w:ascii="Arial" w:eastAsia="Calibri" w:hAnsi="Arial" w:cs="Times New Roman"/>
                <w:sz w:val="18"/>
              </w:rPr>
              <w:t>.</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1.2.3</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Общество не допускает ухудшения дивидендных прав существующих акционеров</w:t>
            </w:r>
            <w:r>
              <w:rPr>
                <w:rFonts w:ascii="Arial" w:eastAsia="Calibri" w:hAnsi="Arial" w:cs="Arial"/>
                <w:sz w:val="18"/>
                <w:szCs w:val="18"/>
              </w:rPr>
              <w:t>.</w:t>
            </w:r>
          </w:p>
        </w:tc>
        <w:tc>
          <w:tcPr>
            <w:tcW w:w="3827" w:type="dxa"/>
          </w:tcPr>
          <w:p w:rsidR="00C81778" w:rsidRDefault="00AB0D4E" w:rsidP="00AB0D4E">
            <w:pPr>
              <w:widowControl w:val="0"/>
              <w:numPr>
                <w:ilvl w:val="0"/>
                <w:numId w:val="31"/>
              </w:numPr>
              <w:tabs>
                <w:tab w:val="left" w:pos="308"/>
              </w:tabs>
              <w:spacing w:after="0" w:line="240" w:lineRule="auto"/>
              <w:ind w:left="0" w:firstLine="0"/>
              <w:contextualSpacing/>
              <w:rPr>
                <w:rFonts w:ascii="Arial" w:eastAsia="Calibri" w:hAnsi="Arial" w:cs="Times New Roman"/>
                <w:sz w:val="18"/>
              </w:rPr>
            </w:pPr>
            <w:r>
              <w:rPr>
                <w:rFonts w:ascii="Arial" w:eastAsia="Calibri" w:hAnsi="Arial" w:cs="Times New Roman"/>
                <w:sz w:val="18"/>
              </w:rPr>
              <w:t xml:space="preserve">В отчетном периоде </w:t>
            </w:r>
            <w:r>
              <w:rPr>
                <w:rFonts w:ascii="Arial" w:eastAsia="Calibri" w:hAnsi="Arial" w:cs="Arial"/>
                <w:sz w:val="18"/>
                <w:szCs w:val="18"/>
              </w:rPr>
              <w:t>Общество</w:t>
            </w:r>
            <w:r>
              <w:rPr>
                <w:rFonts w:ascii="Arial" w:eastAsia="Calibri" w:hAnsi="Arial" w:cs="Times New Roman"/>
                <w:sz w:val="18"/>
              </w:rPr>
              <w:t xml:space="preserve"> не предпринимало действий, ведущих к ухудшению дивидендных прав существующих акционеров</w:t>
            </w:r>
            <w:r>
              <w:rPr>
                <w:rFonts w:ascii="Arial" w:eastAsia="Calibri"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lang w:val="en-US"/>
              </w:rPr>
            </w:pPr>
            <w:r>
              <w:rPr>
                <w:rFonts w:ascii="Arial" w:eastAsia="Calibri" w:hAnsi="Arial" w:cs="Times New Roman"/>
                <w:b/>
                <w:bCs/>
                <w:sz w:val="18"/>
              </w:rPr>
              <w:t>1.2.4</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Общество стремится к исключению использования акционерами иных способов получения прибыли (дохода) за счет </w:t>
            </w:r>
            <w:r>
              <w:rPr>
                <w:rFonts w:ascii="Arial" w:eastAsia="Times New Roman" w:hAnsi="Arial" w:cs="Arial"/>
                <w:sz w:val="18"/>
                <w:szCs w:val="18"/>
              </w:rPr>
              <w:t>Общества</w:t>
            </w:r>
            <w:r>
              <w:rPr>
                <w:rFonts w:ascii="Arial" w:eastAsia="Calibri" w:hAnsi="Arial" w:cs="Times New Roman"/>
                <w:sz w:val="18"/>
              </w:rPr>
              <w:t>, помимо дивидендов и ликвидационной стоимости</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32"/>
              </w:numPr>
              <w:tabs>
                <w:tab w:val="left" w:pos="349"/>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В отчетном периоде иные способы получения лицами, контролирующими общество, прибыли (дохода) за счет Общества помимо дивидендов (например, с помощью трансфертного ценообразования, необоснованного оказания Обществу контролирующим лицом услуг по завышенным ценам, путем замещающих дивиденды внутренних займов контролирующему лицу и (или) его подконтрольным лицам) не использовались.</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shd w:val="clear" w:color="auto" w:fill="DBE5F1"/>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1.3</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Система и практика корпоративного управления обеспечивают равенство условий для всех акционеров </w:t>
            </w:r>
            <w:r>
              <w:rPr>
                <w:rFonts w:ascii="Arial" w:eastAsia="Calibri" w:hAnsi="Arial" w:cs="Arial"/>
                <w:b/>
                <w:sz w:val="18"/>
                <w:szCs w:val="18"/>
              </w:rPr>
              <w:t>–</w:t>
            </w:r>
            <w:r>
              <w:rPr>
                <w:rFonts w:ascii="Arial" w:eastAsia="Calibri" w:hAnsi="Arial" w:cs="Times New Roman"/>
                <w:b/>
                <w:sz w:val="18"/>
              </w:rPr>
              <w:t xml:space="preserve"> владельцев акций одной категории (типа), включая миноритарных (мелких) акционеров и иностранных акционеров, и равное отношение к ним со стороны </w:t>
            </w:r>
            <w:r>
              <w:rPr>
                <w:rFonts w:ascii="Arial" w:eastAsia="Calibri" w:hAnsi="Arial" w:cs="Arial"/>
                <w:b/>
                <w:sz w:val="18"/>
                <w:szCs w:val="18"/>
              </w:rPr>
              <w:t>Общества.</w:t>
            </w: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1.3.1</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Общество создало условия для справедливого отношения к каждому акционеру со стороны органов управления и контролирующих лиц </w:t>
            </w:r>
            <w:r>
              <w:rPr>
                <w:rFonts w:ascii="Arial" w:eastAsia="Calibri" w:hAnsi="Arial" w:cs="Arial"/>
                <w:sz w:val="18"/>
                <w:szCs w:val="18"/>
              </w:rPr>
              <w:t>Общества</w:t>
            </w:r>
            <w:r>
              <w:rPr>
                <w:rFonts w:ascii="Arial" w:eastAsia="Calibri" w:hAnsi="Arial" w:cs="Times New Roman"/>
                <w:sz w:val="18"/>
              </w:rPr>
              <w:t xml:space="preserve">, в том числе условия, обеспечивающие недопустимость злоупотреблений со стороны крупных акционеров по отношению к </w:t>
            </w:r>
            <w:r>
              <w:rPr>
                <w:rFonts w:ascii="Arial" w:eastAsia="Calibri" w:hAnsi="Arial" w:cs="Times New Roman"/>
                <w:sz w:val="18"/>
              </w:rPr>
              <w:lastRenderedPageBreak/>
              <w:t>миноритарным акционерам</w:t>
            </w:r>
            <w:r>
              <w:rPr>
                <w:rFonts w:ascii="Arial" w:eastAsia="Calibri" w:hAnsi="Arial" w:cs="Arial"/>
                <w:sz w:val="18"/>
                <w:szCs w:val="18"/>
              </w:rPr>
              <w:t>.</w:t>
            </w:r>
          </w:p>
        </w:tc>
        <w:tc>
          <w:tcPr>
            <w:tcW w:w="3827" w:type="dxa"/>
            <w:shd w:val="clear" w:color="auto" w:fill="DBE5F1"/>
          </w:tcPr>
          <w:p w:rsidR="00C81778" w:rsidRDefault="00AB0D4E">
            <w:pPr>
              <w:widowControl w:val="0"/>
              <w:spacing w:after="200" w:line="276" w:lineRule="auto"/>
              <w:ind w:left="28"/>
              <w:contextualSpacing/>
              <w:jc w:val="both"/>
              <w:rPr>
                <w:rFonts w:ascii="Arial" w:eastAsia="Calibri" w:hAnsi="Arial" w:cs="Times New Roman"/>
                <w:sz w:val="18"/>
              </w:rPr>
            </w:pPr>
            <w:r>
              <w:rPr>
                <w:rFonts w:ascii="Arial" w:eastAsia="Calibri" w:hAnsi="Arial" w:cs="Times New Roman"/>
                <w:sz w:val="18"/>
              </w:rPr>
              <w:lastRenderedPageBreak/>
              <w:t>1. В течение отчетного периода лица, контролирующие Общество, не допускали злоупотреблений правами по отношению к акционерам Общества, конфликты между контролирующими лицами Общества и акционерами Общества отсутствовали, а если таковые были, Совет директоров уделил им надлежащее внимание.</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shd w:val="clear" w:color="auto" w:fill="DBE5F1"/>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1.3.2</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Общество не предпринимает действий, которые приводят или могут привести к искусственному перераспределению корпоративного контроля</w:t>
            </w:r>
            <w:r>
              <w:rPr>
                <w:rFonts w:ascii="Arial" w:eastAsia="Calibri" w:hAnsi="Arial" w:cs="Arial"/>
                <w:sz w:val="18"/>
                <w:szCs w:val="18"/>
              </w:rPr>
              <w:t>.</w:t>
            </w:r>
          </w:p>
        </w:tc>
        <w:tc>
          <w:tcPr>
            <w:tcW w:w="3827" w:type="dxa"/>
          </w:tcPr>
          <w:p w:rsidR="00C81778" w:rsidRDefault="00AB0D4E" w:rsidP="00AB0D4E">
            <w:pPr>
              <w:widowControl w:val="0"/>
              <w:numPr>
                <w:ilvl w:val="0"/>
                <w:numId w:val="33"/>
              </w:numPr>
              <w:tabs>
                <w:tab w:val="left" w:pos="308"/>
              </w:tabs>
              <w:spacing w:after="0" w:line="240" w:lineRule="auto"/>
              <w:ind w:left="28" w:firstLine="0"/>
              <w:contextualSpacing/>
              <w:jc w:val="both"/>
              <w:rPr>
                <w:rFonts w:ascii="Arial" w:eastAsia="Calibri" w:hAnsi="Arial" w:cs="Times New Roman"/>
                <w:sz w:val="18"/>
              </w:rPr>
            </w:pPr>
            <w:proofErr w:type="spellStart"/>
            <w:r>
              <w:rPr>
                <w:rFonts w:ascii="Arial" w:eastAsia="Calibri" w:hAnsi="Arial" w:cs="Times New Roman"/>
                <w:sz w:val="18"/>
              </w:rPr>
              <w:t>Квазиказначейские</w:t>
            </w:r>
            <w:proofErr w:type="spellEnd"/>
            <w:r>
              <w:rPr>
                <w:rFonts w:ascii="Arial" w:eastAsia="Calibri" w:hAnsi="Arial" w:cs="Times New Roman"/>
                <w:sz w:val="18"/>
              </w:rPr>
              <w:t xml:space="preserve"> акции отсутствуют или не участвовали в голосовании в течение отчетного периода</w:t>
            </w:r>
            <w:r>
              <w:rPr>
                <w:rFonts w:ascii="Arial" w:eastAsia="Calibri"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16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1.4</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r>
              <w:rPr>
                <w:rFonts w:ascii="Arial" w:eastAsia="Calibri" w:hAnsi="Arial" w:cs="Arial"/>
                <w:b/>
                <w:sz w:val="18"/>
                <w:szCs w:val="18"/>
              </w:rPr>
              <w:t>.</w:t>
            </w:r>
          </w:p>
        </w:tc>
      </w:tr>
      <w:tr w:rsidR="00C81778">
        <w:trPr>
          <w:trHeight w:val="164"/>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1.4</w:t>
            </w:r>
            <w:r>
              <w:rPr>
                <w:rFonts w:ascii="Arial" w:eastAsia="Calibri" w:hAnsi="Arial" w:cs="Arial"/>
                <w:b/>
                <w:bCs/>
                <w:sz w:val="18"/>
                <w:szCs w:val="18"/>
              </w:rPr>
              <w:t>.1.</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r>
              <w:rPr>
                <w:rFonts w:ascii="Arial" w:eastAsia="Calibri" w:hAnsi="Arial" w:cs="Arial"/>
                <w:sz w:val="18"/>
                <w:szCs w:val="18"/>
              </w:rPr>
              <w:t>.</w:t>
            </w:r>
          </w:p>
        </w:tc>
        <w:tc>
          <w:tcPr>
            <w:tcW w:w="3827" w:type="dxa"/>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Times New Roman"/>
                <w:sz w:val="18"/>
              </w:rPr>
              <w:t>1. Используемые регистратором Общества технологии и условия оказываемых услуг соответствуют потребностям Общества и его акционеров, обеспечивают учет прав на акции и реализацию прав акционеров наиболее эффективным образом.</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Совет директоров осуществляет стратегическое управление Обществом, определяет основные принципы и подходы к организации в </w:t>
            </w:r>
            <w:r>
              <w:rPr>
                <w:rFonts w:ascii="Arial" w:eastAsia="Calibri" w:hAnsi="Arial" w:cs="Arial"/>
                <w:b/>
                <w:sz w:val="18"/>
                <w:szCs w:val="18"/>
              </w:rPr>
              <w:t>Обществе</w:t>
            </w:r>
            <w:r>
              <w:rPr>
                <w:rFonts w:ascii="Arial" w:eastAsia="Calibri" w:hAnsi="Arial" w:cs="Times New Roman"/>
                <w:b/>
                <w:sz w:val="18"/>
              </w:rPr>
              <w:t xml:space="preserve"> системы управления рисками и внутреннего контроля, контролирует деятельность исполнительных органов </w:t>
            </w:r>
            <w:r>
              <w:rPr>
                <w:rFonts w:ascii="Arial" w:eastAsia="Calibri" w:hAnsi="Arial" w:cs="Arial"/>
                <w:b/>
                <w:sz w:val="18"/>
                <w:szCs w:val="18"/>
              </w:rPr>
              <w:t>Общества</w:t>
            </w:r>
            <w:r>
              <w:rPr>
                <w:rFonts w:ascii="Arial" w:eastAsia="Calibri" w:hAnsi="Arial" w:cs="Times New Roman"/>
                <w:b/>
                <w:sz w:val="18"/>
              </w:rPr>
              <w:t>, а также реализует иные ключевые функции</w:t>
            </w:r>
            <w:r>
              <w:rPr>
                <w:rFonts w:ascii="Arial" w:eastAsia="Calibri" w:hAnsi="Arial" w:cs="Arial"/>
                <w:b/>
                <w:sz w:val="18"/>
                <w:szCs w:val="18"/>
              </w:rPr>
              <w:t>.</w:t>
            </w:r>
          </w:p>
        </w:tc>
      </w:tr>
      <w:tr w:rsidR="00C81778">
        <w:trPr>
          <w:trHeight w:val="4385"/>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2.1.1</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отвечает за принятие решений, связанных с назначением и освобождением от занимаемых должностей исполнительных органов, в том числе в связи с ненадлежащим исполнением ими своих обязанностей. Совет директоров также осуществляет контроль за тем, чтобы исполнительные органы </w:t>
            </w:r>
            <w:r>
              <w:rPr>
                <w:rFonts w:ascii="Arial" w:eastAsia="Times New Roman" w:hAnsi="Arial" w:cs="Arial"/>
                <w:sz w:val="18"/>
                <w:szCs w:val="18"/>
              </w:rPr>
              <w:t>Общества</w:t>
            </w:r>
            <w:r>
              <w:rPr>
                <w:rFonts w:ascii="Arial" w:eastAsia="Calibri" w:hAnsi="Arial" w:cs="Times New Roman"/>
                <w:sz w:val="18"/>
              </w:rPr>
              <w:t xml:space="preserve"> действовали в соответствии с утвержденными стратегией развития и основными направлениями деятельности </w:t>
            </w:r>
            <w:r>
              <w:rPr>
                <w:rFonts w:ascii="Arial" w:eastAsia="Times New Roman" w:hAnsi="Arial" w:cs="Arial"/>
                <w:sz w:val="18"/>
                <w:szCs w:val="18"/>
              </w:rPr>
              <w:t>Общества.</w:t>
            </w:r>
          </w:p>
        </w:tc>
        <w:tc>
          <w:tcPr>
            <w:tcW w:w="3827" w:type="dxa"/>
          </w:tcPr>
          <w:p w:rsidR="00C81778" w:rsidRDefault="00AB0D4E" w:rsidP="00AB0D4E">
            <w:pPr>
              <w:widowControl w:val="0"/>
              <w:numPr>
                <w:ilvl w:val="0"/>
                <w:numId w:val="34"/>
              </w:numPr>
              <w:tabs>
                <w:tab w:val="left" w:pos="24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Совет директоров имеет закрепленные в Уставе полномочия по назначению, освобождению от занимаемой должности и определению условий договоров в отношении членов исполнительных органов.</w:t>
            </w:r>
          </w:p>
          <w:p w:rsidR="00C81778" w:rsidRDefault="00AB0D4E" w:rsidP="00AB0D4E">
            <w:pPr>
              <w:widowControl w:val="0"/>
              <w:numPr>
                <w:ilvl w:val="0"/>
                <w:numId w:val="35"/>
              </w:numPr>
              <w:tabs>
                <w:tab w:val="left" w:pos="24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В отчетном периоде комитет по номинациям (назначениям, кадрам) рассмотрел вопрос о соответствии профессиональной квалификации, навыков и опыта членов исполнительных органов текущим и ожидаемым потребностям Общества, продиктованным утвержденной стратегией Общества.</w:t>
            </w:r>
          </w:p>
          <w:p w:rsidR="00C81778" w:rsidRDefault="00AB0D4E" w:rsidP="00AB0D4E">
            <w:pPr>
              <w:widowControl w:val="0"/>
              <w:numPr>
                <w:ilvl w:val="0"/>
                <w:numId w:val="36"/>
              </w:numPr>
              <w:tabs>
                <w:tab w:val="left" w:pos="240"/>
              </w:tabs>
              <w:spacing w:after="0" w:line="240" w:lineRule="auto"/>
              <w:ind w:left="0" w:firstLine="0"/>
              <w:contextualSpacing/>
              <w:jc w:val="both"/>
              <w:rPr>
                <w:rFonts w:ascii="Arial" w:eastAsia="Times New Roman" w:hAnsi="Arial" w:cs="Arial"/>
                <w:sz w:val="18"/>
                <w:szCs w:val="20"/>
                <w:lang w:eastAsia="ru-RU"/>
              </w:rPr>
            </w:pPr>
            <w:r>
              <w:rPr>
                <w:rFonts w:ascii="Arial" w:eastAsia="Calibri" w:hAnsi="Arial" w:cs="Times New Roman"/>
                <w:sz w:val="18"/>
              </w:rPr>
              <w:t>В отчетном периоде Советом директоров рассмотрен отчет (отчеты) единоличного исполнительного органа и коллегиального исполнительного органа (при наличии) о выполнении стратегии Общества.</w:t>
            </w:r>
          </w:p>
        </w:tc>
        <w:tc>
          <w:tcPr>
            <w:tcW w:w="2692" w:type="dxa"/>
          </w:tcPr>
          <w:p w:rsidR="00C81778" w:rsidRDefault="00AB0D4E">
            <w:pPr>
              <w:widowControl w:val="0"/>
              <w:spacing w:after="0" w:line="240" w:lineRule="auto"/>
              <w:contextualSpacing/>
              <w:rPr>
                <w:rFonts w:ascii="Arial" w:eastAsia="Calibri" w:hAnsi="Arial" w:cs="Times New Roman"/>
                <w:sz w:val="18"/>
              </w:rPr>
            </w:pPr>
            <w:r>
              <w:rPr>
                <w:rFonts w:ascii="Arial" w:eastAsia="Times New Roman" w:hAnsi="Arial" w:cs="Arial"/>
                <w:sz w:val="18"/>
                <w:szCs w:val="18"/>
              </w:rPr>
              <w:t>Соблюдается.</w:t>
            </w:r>
          </w:p>
        </w:tc>
        <w:tc>
          <w:tcPr>
            <w:tcW w:w="3966" w:type="dxa"/>
          </w:tcPr>
          <w:p w:rsidR="00C81778" w:rsidRDefault="00AB0D4E">
            <w:pPr>
              <w:widowControl w:val="0"/>
              <w:spacing w:after="200" w:line="276" w:lineRule="auto"/>
              <w:contextualSpacing/>
              <w:jc w:val="both"/>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AB0D4E">
            <w:pPr>
              <w:widowControl w:val="0"/>
              <w:spacing w:after="200" w:line="276" w:lineRule="auto"/>
              <w:contextualSpacing/>
              <w:jc w:val="both"/>
              <w:rPr>
                <w:rFonts w:ascii="Arial" w:eastAsia="Calibri" w:hAnsi="Arial" w:cs="Arial"/>
                <w:sz w:val="18"/>
                <w:szCs w:val="18"/>
                <w:u w:val="single"/>
              </w:rPr>
            </w:pPr>
            <w:r>
              <w:rPr>
                <w:rFonts w:ascii="Arial" w:eastAsia="Calibri" w:hAnsi="Arial" w:cs="Arial"/>
                <w:sz w:val="18"/>
                <w:szCs w:val="18"/>
                <w:u w:val="single"/>
              </w:rPr>
              <w:t>Критерий 2: соблюдается*.</w:t>
            </w:r>
          </w:p>
          <w:p w:rsidR="00C81778" w:rsidRDefault="00C81778">
            <w:pPr>
              <w:widowControl w:val="0"/>
              <w:spacing w:after="200" w:line="276" w:lineRule="auto"/>
              <w:contextualSpacing/>
              <w:jc w:val="both"/>
              <w:rPr>
                <w:rFonts w:ascii="Arial" w:eastAsia="Calibri" w:hAnsi="Arial" w:cs="Arial"/>
                <w:sz w:val="18"/>
                <w:szCs w:val="18"/>
                <w:u w:val="single"/>
              </w:rPr>
            </w:pPr>
          </w:p>
          <w:p w:rsidR="00C81778" w:rsidRDefault="00AB0D4E">
            <w:pPr>
              <w:widowControl w:val="0"/>
              <w:spacing w:after="200" w:line="276" w:lineRule="auto"/>
              <w:contextualSpacing/>
              <w:jc w:val="both"/>
              <w:rPr>
                <w:rFonts w:ascii="Arial" w:eastAsia="Calibri" w:hAnsi="Arial" w:cs="Arial"/>
                <w:sz w:val="18"/>
                <w:szCs w:val="18"/>
                <w:u w:val="single"/>
              </w:rPr>
            </w:pPr>
            <w:r>
              <w:rPr>
                <w:rFonts w:ascii="Arial" w:eastAsia="Calibri" w:hAnsi="Arial" w:cs="Arial"/>
                <w:sz w:val="18"/>
                <w:szCs w:val="18"/>
                <w:u w:val="single"/>
              </w:rPr>
              <w:t>Критерий 3: соблюдается*.</w:t>
            </w:r>
          </w:p>
          <w:p w:rsidR="00C81778" w:rsidRDefault="00C81778">
            <w:pPr>
              <w:widowControl w:val="0"/>
              <w:spacing w:after="200" w:line="276" w:lineRule="auto"/>
              <w:contextualSpacing/>
              <w:jc w:val="both"/>
              <w:rPr>
                <w:rFonts w:ascii="Arial" w:eastAsia="Calibri" w:hAnsi="Arial" w:cs="Arial"/>
                <w:sz w:val="18"/>
                <w:szCs w:val="18"/>
                <w:u w:val="single"/>
              </w:rPr>
            </w:pPr>
          </w:p>
          <w:p w:rsidR="00C81778" w:rsidRDefault="00C81778">
            <w:pPr>
              <w:widowControl w:val="0"/>
              <w:spacing w:after="200" w:line="276" w:lineRule="auto"/>
              <w:contextualSpacing/>
              <w:jc w:val="both"/>
              <w:rPr>
                <w:rFonts w:ascii="Arial" w:eastAsia="Calibri" w:hAnsi="Arial" w:cs="Arial"/>
                <w:sz w:val="18"/>
                <w:szCs w:val="18"/>
                <w:u w:val="single"/>
              </w:rPr>
            </w:pPr>
          </w:p>
          <w:p w:rsidR="00C81778" w:rsidRDefault="00C81778">
            <w:pPr>
              <w:widowControl w:val="0"/>
              <w:spacing w:after="200" w:line="276" w:lineRule="auto"/>
              <w:contextualSpacing/>
              <w:jc w:val="both"/>
              <w:rPr>
                <w:rFonts w:ascii="Arial" w:eastAsia="Calibri" w:hAnsi="Arial" w:cs="Arial"/>
                <w:sz w:val="18"/>
                <w:szCs w:val="18"/>
                <w:u w:val="single"/>
              </w:rPr>
            </w:pPr>
          </w:p>
          <w:p w:rsidR="00C81778" w:rsidRDefault="00AB0D4E">
            <w:pPr>
              <w:widowControl w:val="0"/>
              <w:spacing w:after="200" w:line="276" w:lineRule="auto"/>
              <w:contextualSpacing/>
              <w:jc w:val="both"/>
              <w:rPr>
                <w:rFonts w:ascii="Arial" w:eastAsia="Calibri" w:hAnsi="Arial" w:cs="Times New Roman"/>
                <w:sz w:val="18"/>
                <w:u w:val="single"/>
              </w:rPr>
            </w:pPr>
            <w:r>
              <w:rPr>
                <w:rFonts w:ascii="Arial" w:eastAsia="Calibri" w:hAnsi="Arial" w:cs="Arial"/>
                <w:sz w:val="18"/>
                <w:szCs w:val="18"/>
                <w:u w:val="single"/>
              </w:rPr>
              <w:t>* Комментарий к соблюдению критерия 2 и 3: Коллегиальный исполнительный орган не предусмотрен Уставом Общества. Отчет единоличного исполнительного органа о выполнении стратегии Общества рассматривается в рамках ежеквартального отчета управляющей организации об оказании услуг по договору о передаче полномочий единоличного исполнительного органа ПАО «ОГК-2».</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2.1.2</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устанавливает основные ориентиры деятельности </w:t>
            </w:r>
            <w:r>
              <w:rPr>
                <w:rFonts w:ascii="Arial" w:eastAsia="Calibri" w:hAnsi="Arial" w:cs="Arial"/>
                <w:sz w:val="18"/>
                <w:szCs w:val="18"/>
              </w:rPr>
              <w:t>Общества</w:t>
            </w:r>
            <w:r>
              <w:rPr>
                <w:rFonts w:ascii="Arial" w:eastAsia="Calibri" w:hAnsi="Arial" w:cs="Times New Roman"/>
                <w:sz w:val="18"/>
              </w:rPr>
              <w:t xml:space="preserve"> на долгосрочную перспективу, оценивает и утверждает ключевые показатели деятельности и основные бизнес-цели </w:t>
            </w:r>
            <w:r>
              <w:rPr>
                <w:rFonts w:ascii="Arial" w:eastAsia="Calibri" w:hAnsi="Arial" w:cs="Arial"/>
                <w:sz w:val="18"/>
                <w:szCs w:val="18"/>
              </w:rPr>
              <w:t>Общества</w:t>
            </w:r>
            <w:r>
              <w:rPr>
                <w:rFonts w:ascii="Arial" w:eastAsia="Calibri" w:hAnsi="Arial" w:cs="Times New Roman"/>
                <w:sz w:val="18"/>
              </w:rPr>
              <w:t xml:space="preserve">, оценивает и </w:t>
            </w:r>
            <w:r>
              <w:rPr>
                <w:rFonts w:ascii="Arial" w:eastAsia="Calibri" w:hAnsi="Arial" w:cs="Times New Roman"/>
                <w:sz w:val="18"/>
              </w:rPr>
              <w:lastRenderedPageBreak/>
              <w:t xml:space="preserve">одобряет стратегию и бизнес-планы по основным видам деятельности </w:t>
            </w:r>
            <w:r>
              <w:rPr>
                <w:rFonts w:ascii="Arial" w:eastAsia="Calibri" w:hAnsi="Arial" w:cs="Arial"/>
                <w:sz w:val="18"/>
                <w:szCs w:val="18"/>
              </w:rPr>
              <w:t>Общества.</w:t>
            </w:r>
          </w:p>
        </w:tc>
        <w:tc>
          <w:tcPr>
            <w:tcW w:w="3827" w:type="dxa"/>
            <w:shd w:val="clear" w:color="auto" w:fill="DBE5F1"/>
          </w:tcPr>
          <w:p w:rsidR="00C81778" w:rsidRDefault="00AB0D4E" w:rsidP="00AB0D4E">
            <w:pPr>
              <w:widowControl w:val="0"/>
              <w:numPr>
                <w:ilvl w:val="0"/>
                <w:numId w:val="37"/>
              </w:numPr>
              <w:tabs>
                <w:tab w:val="left" w:pos="39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lastRenderedPageBreak/>
              <w:t xml:space="preserve">В течение отчетного периода на заседаниях </w:t>
            </w:r>
            <w:r>
              <w:rPr>
                <w:rFonts w:ascii="Arial" w:eastAsia="Calibri" w:hAnsi="Arial" w:cs="Arial"/>
                <w:sz w:val="18"/>
                <w:szCs w:val="18"/>
              </w:rPr>
              <w:t>Совета</w:t>
            </w:r>
            <w:r>
              <w:rPr>
                <w:rFonts w:ascii="Arial" w:eastAsia="Calibri" w:hAnsi="Arial" w:cs="Times New Roman"/>
                <w:sz w:val="18"/>
              </w:rPr>
              <w:t xml:space="preserve"> директоров были рассмотрены вопросы, связанные с ходом исполнения и актуализации стратегии, утверждением финансово-хозяйственного плана (бюджета) </w:t>
            </w:r>
            <w:r>
              <w:rPr>
                <w:rFonts w:ascii="Arial" w:eastAsia="Calibri" w:hAnsi="Arial" w:cs="Arial"/>
                <w:sz w:val="18"/>
                <w:szCs w:val="18"/>
              </w:rPr>
              <w:t>Общества</w:t>
            </w:r>
            <w:r>
              <w:rPr>
                <w:rFonts w:ascii="Arial" w:eastAsia="Calibri" w:hAnsi="Arial" w:cs="Times New Roman"/>
                <w:sz w:val="18"/>
              </w:rPr>
              <w:t xml:space="preserve">, а также </w:t>
            </w:r>
            <w:r>
              <w:rPr>
                <w:rFonts w:ascii="Arial" w:eastAsia="Calibri" w:hAnsi="Arial" w:cs="Arial"/>
                <w:sz w:val="18"/>
                <w:szCs w:val="18"/>
              </w:rPr>
              <w:lastRenderedPageBreak/>
              <w:t>рассмотрению</w:t>
            </w:r>
            <w:r>
              <w:rPr>
                <w:rFonts w:ascii="Arial" w:eastAsia="Calibri" w:hAnsi="Arial" w:cs="Times New Roman"/>
                <w:sz w:val="18"/>
              </w:rPr>
              <w:t xml:space="preserve"> критериев и показателей (в том числе промежуточных) реализации стратегии и бизнес-планов </w:t>
            </w:r>
            <w:r>
              <w:rPr>
                <w:rFonts w:ascii="Arial" w:eastAsia="Calibri" w:hAnsi="Arial" w:cs="Arial"/>
                <w:sz w:val="18"/>
                <w:szCs w:val="18"/>
              </w:rPr>
              <w:t>Общества.</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lastRenderedPageBreak/>
              <w:t>Соблюдается.</w:t>
            </w:r>
          </w:p>
        </w:tc>
        <w:tc>
          <w:tcPr>
            <w:tcW w:w="3966" w:type="dxa"/>
            <w:shd w:val="clear" w:color="auto" w:fill="DBE5F1"/>
          </w:tcPr>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Calibri" w:hAnsi="Arial" w:cs="Arial"/>
                <w:sz w:val="18"/>
                <w:szCs w:val="18"/>
                <w:u w:val="single"/>
              </w:rPr>
              <w:t>Критерий 1: соблюдается.</w:t>
            </w:r>
          </w:p>
          <w:p w:rsidR="00C81778" w:rsidRDefault="00C81778">
            <w:pPr>
              <w:widowControl w:val="0"/>
              <w:spacing w:after="200" w:line="276" w:lineRule="auto"/>
              <w:contextualSpacing/>
              <w:rPr>
                <w:rFonts w:ascii="Arial" w:eastAsia="Calibri" w:hAnsi="Arial" w:cs="Times New Roman"/>
                <w:sz w:val="18"/>
              </w:rPr>
            </w:pPr>
          </w:p>
        </w:tc>
      </w:tr>
      <w:tr w:rsidR="00C81778">
        <w:trPr>
          <w:trHeight w:val="4101"/>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2.1.3</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определяет принципы и подходы к организации системы управления рисками и внутреннего контроля в </w:t>
            </w:r>
            <w:r>
              <w:rPr>
                <w:rFonts w:ascii="Arial" w:eastAsia="Times New Roman" w:hAnsi="Arial" w:cs="Arial"/>
                <w:sz w:val="18"/>
                <w:szCs w:val="18"/>
              </w:rPr>
              <w:t>Обществе.</w:t>
            </w:r>
          </w:p>
        </w:tc>
        <w:tc>
          <w:tcPr>
            <w:tcW w:w="3827" w:type="dxa"/>
          </w:tcPr>
          <w:p w:rsidR="00C81778" w:rsidRDefault="00AB0D4E">
            <w:pPr>
              <w:widowControl w:val="0"/>
              <w:spacing w:after="200" w:line="276" w:lineRule="auto"/>
              <w:jc w:val="both"/>
              <w:rPr>
                <w:rFonts w:ascii="Arial" w:eastAsia="Calibri" w:hAnsi="Arial" w:cs="Times New Roman"/>
                <w:sz w:val="18"/>
              </w:rPr>
            </w:pPr>
            <w:r>
              <w:rPr>
                <w:rFonts w:ascii="Arial" w:eastAsia="Times New Roman" w:hAnsi="Arial" w:cs="Arial"/>
                <w:sz w:val="20"/>
                <w:szCs w:val="20"/>
                <w:lang w:eastAsia="ru-RU"/>
              </w:rPr>
              <w:t>1</w:t>
            </w:r>
            <w:r>
              <w:rPr>
                <w:rFonts w:ascii="Arial" w:eastAsia="Calibri" w:hAnsi="Arial" w:cs="Times New Roman"/>
                <w:sz w:val="18"/>
              </w:rPr>
              <w:t>. Принципы и подходы к организации системы управления рисками и внутреннего контроля в Обществе определены Советом директоров и закреплены во внутренних документах Общества, определяющих политику в области управления рисками и внутреннего контроля.</w:t>
            </w:r>
          </w:p>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Calibri" w:hAnsi="Arial" w:cs="Times New Roman"/>
                <w:sz w:val="18"/>
              </w:rPr>
              <w:t>2. В отчетном периоде Совет директоров утвердил (пересмотрел) приемлемую величину рисков (риск-аппетит) Общества либо комитет по аудиту и (или) комитет по рискам (при наличии) рассмотрел целесообразность вынесения на рассмотрение Совета директоров вопроса о пересмотре риск-аппетита Общества.</w:t>
            </w:r>
          </w:p>
        </w:tc>
        <w:tc>
          <w:tcPr>
            <w:tcW w:w="2692" w:type="dxa"/>
          </w:tcPr>
          <w:p w:rsidR="00C81778" w:rsidRDefault="00AB0D4E">
            <w:pPr>
              <w:widowControl w:val="0"/>
              <w:spacing w:after="0" w:line="240" w:lineRule="auto"/>
              <w:contextualSpacing/>
              <w:rPr>
                <w:rFonts w:ascii="Arial" w:eastAsia="Calibri" w:hAnsi="Arial" w:cs="Times New Roman"/>
                <w:sz w:val="18"/>
              </w:rPr>
            </w:pPr>
            <w:r>
              <w:rPr>
                <w:rFonts w:ascii="Arial" w:eastAsia="Times New Roman" w:hAnsi="Arial" w:cs="Arial"/>
                <w:sz w:val="18"/>
                <w:szCs w:val="18"/>
              </w:rPr>
              <w:t>Соблюдается.</w:t>
            </w:r>
          </w:p>
        </w:tc>
        <w:tc>
          <w:tcPr>
            <w:tcW w:w="3966" w:type="dxa"/>
          </w:tcPr>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1: соблюдается.</w:t>
            </w: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2.1.4</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определяет политику </w:t>
            </w:r>
            <w:r>
              <w:rPr>
                <w:rFonts w:ascii="Arial" w:eastAsia="Calibri" w:hAnsi="Arial" w:cs="Arial"/>
                <w:sz w:val="18"/>
                <w:szCs w:val="18"/>
              </w:rPr>
              <w:t>Общества</w:t>
            </w:r>
            <w:r>
              <w:rPr>
                <w:rFonts w:ascii="Arial" w:eastAsia="Calibri" w:hAnsi="Arial" w:cs="Times New Roman"/>
                <w:sz w:val="18"/>
              </w:rPr>
              <w:t xml:space="preserve"> по вознаграждению и (или) возмещению расходов (компенсаций) членам </w:t>
            </w:r>
            <w:r>
              <w:rPr>
                <w:rFonts w:ascii="Arial" w:eastAsia="Calibri" w:hAnsi="Arial" w:cs="Arial"/>
                <w:sz w:val="18"/>
                <w:szCs w:val="18"/>
              </w:rPr>
              <w:t>Совета</w:t>
            </w:r>
            <w:r>
              <w:rPr>
                <w:rFonts w:ascii="Arial" w:eastAsia="Calibri" w:hAnsi="Arial" w:cs="Times New Roman"/>
                <w:sz w:val="18"/>
              </w:rPr>
              <w:t xml:space="preserve"> директоров, исполнительным органам и иным ключевым руководящим работникам </w:t>
            </w:r>
            <w:r>
              <w:rPr>
                <w:rFonts w:ascii="Arial" w:eastAsia="Calibri" w:hAnsi="Arial" w:cs="Arial"/>
                <w:sz w:val="18"/>
                <w:szCs w:val="18"/>
              </w:rPr>
              <w:t>Общества.</w:t>
            </w:r>
          </w:p>
        </w:tc>
        <w:tc>
          <w:tcPr>
            <w:tcW w:w="3827" w:type="dxa"/>
            <w:shd w:val="clear" w:color="auto" w:fill="DBE5F1"/>
          </w:tcPr>
          <w:p w:rsidR="00C81778" w:rsidRDefault="00AB0D4E" w:rsidP="00AB0D4E">
            <w:pPr>
              <w:widowControl w:val="0"/>
              <w:numPr>
                <w:ilvl w:val="0"/>
                <w:numId w:val="38"/>
              </w:numPr>
              <w:tabs>
                <w:tab w:val="left" w:pos="360"/>
              </w:tabs>
              <w:spacing w:after="0" w:line="240" w:lineRule="auto"/>
              <w:ind w:left="0" w:firstLine="0"/>
              <w:contextualSpacing/>
              <w:jc w:val="both"/>
              <w:rPr>
                <w:rFonts w:ascii="Arial" w:eastAsia="Calibri" w:hAnsi="Arial" w:cs="Arial"/>
                <w:sz w:val="18"/>
                <w:szCs w:val="18"/>
              </w:rPr>
            </w:pPr>
            <w:r>
              <w:rPr>
                <w:rFonts w:ascii="Arial" w:eastAsia="Calibri" w:hAnsi="Arial" w:cs="Arial"/>
                <w:sz w:val="18"/>
                <w:szCs w:val="18"/>
              </w:rPr>
              <w:t>В Обществе разработана, утверждена Советом директоров и внедрена политика (политики) по вознаграждению и возмещению расходов (компенсаций) членов Совета директоров, исполнительных органов Общества и иных ключевых руководящих работников Общества.</w:t>
            </w:r>
          </w:p>
          <w:p w:rsidR="00C81778" w:rsidRDefault="00AB0D4E" w:rsidP="00AB0D4E">
            <w:pPr>
              <w:widowControl w:val="0"/>
              <w:numPr>
                <w:ilvl w:val="0"/>
                <w:numId w:val="39"/>
              </w:numPr>
              <w:tabs>
                <w:tab w:val="left" w:pos="360"/>
              </w:tabs>
              <w:spacing w:after="0" w:line="240" w:lineRule="auto"/>
              <w:ind w:left="0" w:firstLine="0"/>
              <w:contextualSpacing/>
              <w:jc w:val="both"/>
              <w:rPr>
                <w:rFonts w:ascii="Arial" w:eastAsia="Calibri" w:hAnsi="Arial" w:cs="Times New Roman"/>
                <w:sz w:val="18"/>
              </w:rPr>
            </w:pPr>
            <w:r>
              <w:rPr>
                <w:rFonts w:ascii="Arial" w:eastAsia="Calibri" w:hAnsi="Arial" w:cs="Arial"/>
                <w:sz w:val="18"/>
                <w:szCs w:val="18"/>
              </w:rPr>
              <w:t>В течение отчетного периода Советом директоров были рассмотрены вопросы, связанные с указанной политикой (политиками).</w:t>
            </w:r>
          </w:p>
        </w:tc>
        <w:tc>
          <w:tcPr>
            <w:tcW w:w="2692" w:type="dxa"/>
            <w:shd w:val="clear" w:color="auto" w:fill="DBE5F1"/>
          </w:tcPr>
          <w:p w:rsidR="00C81778" w:rsidRDefault="00AB0D4E">
            <w:pPr>
              <w:widowControl w:val="0"/>
              <w:spacing w:after="200" w:line="276" w:lineRule="auto"/>
              <w:rPr>
                <w:rFonts w:ascii="Arial" w:eastAsia="Calibri" w:hAnsi="Arial" w:cs="Times New Roman"/>
                <w:sz w:val="18"/>
              </w:rPr>
            </w:pPr>
            <w:r>
              <w:rPr>
                <w:rFonts w:ascii="Arial" w:eastAsia="Calibri" w:hAnsi="Arial" w:cs="Arial"/>
                <w:sz w:val="18"/>
                <w:szCs w:val="18"/>
              </w:rPr>
              <w:t>Соблюдается</w:t>
            </w:r>
          </w:p>
        </w:tc>
        <w:tc>
          <w:tcPr>
            <w:tcW w:w="3966" w:type="dxa"/>
            <w:shd w:val="clear" w:color="auto" w:fill="DBE5F1"/>
          </w:tcPr>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1: соблюдается.</w:t>
            </w:r>
          </w:p>
          <w:p w:rsidR="00C81778" w:rsidRDefault="00C81778">
            <w:pPr>
              <w:spacing w:after="0" w:line="276" w:lineRule="auto"/>
              <w:jc w:val="both"/>
              <w:rPr>
                <w:rFonts w:ascii="Arial" w:eastAsia="Calibri" w:hAnsi="Arial" w:cs="Times New Roman"/>
                <w:sz w:val="18"/>
                <w:u w:val="single"/>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соблюдается.</w:t>
            </w:r>
          </w:p>
          <w:p w:rsidR="00C81778" w:rsidRDefault="00C81778">
            <w:pPr>
              <w:spacing w:after="200" w:line="276" w:lineRule="auto"/>
              <w:jc w:val="both"/>
              <w:rPr>
                <w:rFonts w:ascii="Arial" w:eastAsia="Calibri" w:hAnsi="Arial" w:cs="Arial"/>
                <w:sz w:val="18"/>
                <w:szCs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2.1.5</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играет ключевую роль в предупреждении, выявлении и урегулировании внутренних конфликтов между органами </w:t>
            </w:r>
            <w:r>
              <w:rPr>
                <w:rFonts w:ascii="Arial" w:eastAsia="Calibri" w:hAnsi="Arial" w:cs="Arial"/>
                <w:sz w:val="18"/>
                <w:szCs w:val="18"/>
              </w:rPr>
              <w:t>Общества</w:t>
            </w:r>
            <w:r>
              <w:rPr>
                <w:rFonts w:ascii="Arial" w:eastAsia="Calibri" w:hAnsi="Arial" w:cs="Times New Roman"/>
                <w:sz w:val="18"/>
              </w:rPr>
              <w:t xml:space="preserve">, акционерами </w:t>
            </w:r>
            <w:r>
              <w:rPr>
                <w:rFonts w:ascii="Arial" w:eastAsia="Calibri" w:hAnsi="Arial" w:cs="Arial"/>
                <w:sz w:val="18"/>
                <w:szCs w:val="18"/>
              </w:rPr>
              <w:t>Общества</w:t>
            </w:r>
            <w:r>
              <w:rPr>
                <w:rFonts w:ascii="Arial" w:eastAsia="Calibri" w:hAnsi="Arial" w:cs="Times New Roman"/>
                <w:sz w:val="18"/>
              </w:rPr>
              <w:t xml:space="preserve"> и работниками </w:t>
            </w:r>
            <w:r>
              <w:rPr>
                <w:rFonts w:ascii="Arial" w:eastAsia="Calibri" w:hAnsi="Arial" w:cs="Arial"/>
                <w:sz w:val="18"/>
                <w:szCs w:val="18"/>
              </w:rPr>
              <w:t>Общества.</w:t>
            </w:r>
          </w:p>
        </w:tc>
        <w:tc>
          <w:tcPr>
            <w:tcW w:w="3827" w:type="dxa"/>
          </w:tcPr>
          <w:p w:rsidR="00C81778" w:rsidRDefault="00AB0D4E" w:rsidP="00AB0D4E">
            <w:pPr>
              <w:widowControl w:val="0"/>
              <w:numPr>
                <w:ilvl w:val="0"/>
                <w:numId w:val="40"/>
              </w:numPr>
              <w:tabs>
                <w:tab w:val="left" w:pos="34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Совет директоров играет ключевую роль в предупреждении, выявлении и урегулировании внутренних конфликтов.</w:t>
            </w:r>
          </w:p>
          <w:p w:rsidR="00C81778" w:rsidRDefault="00AB0D4E" w:rsidP="00AB0D4E">
            <w:pPr>
              <w:widowControl w:val="0"/>
              <w:numPr>
                <w:ilvl w:val="0"/>
                <w:numId w:val="41"/>
              </w:numPr>
              <w:tabs>
                <w:tab w:val="left" w:pos="34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Общество создало систему идентификации сделок, связанных с конфликтом интересов, и систему мер, направленных на разрешение таких конфликтов</w:t>
            </w:r>
            <w:r>
              <w:rPr>
                <w:rFonts w:ascii="Arial" w:eastAsia="Calibri"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Arial"/>
                <w:sz w:val="18"/>
                <w:szCs w:val="18"/>
              </w:rPr>
            </w:pPr>
            <w:r>
              <w:rPr>
                <w:rFonts w:ascii="Arial" w:eastAsia="Calibri" w:hAnsi="Arial" w:cs="Arial"/>
                <w:sz w:val="18"/>
                <w:szCs w:val="18"/>
              </w:rPr>
              <w:t>Соблюдается.</w:t>
            </w:r>
          </w:p>
          <w:p w:rsidR="00C81778" w:rsidRDefault="00C81778">
            <w:pPr>
              <w:widowControl w:val="0"/>
              <w:spacing w:after="200" w:line="276" w:lineRule="auto"/>
              <w:contextualSpacing/>
              <w:rPr>
                <w:rFonts w:ascii="Arial" w:eastAsia="Calibri" w:hAnsi="Arial" w:cs="Times New Roman"/>
                <w:sz w:val="18"/>
              </w:rPr>
            </w:pPr>
          </w:p>
        </w:tc>
        <w:tc>
          <w:tcPr>
            <w:tcW w:w="3966" w:type="dxa"/>
          </w:tcPr>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2.1.6</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играет ключевую роль в обеспечении прозрачности </w:t>
            </w:r>
            <w:r>
              <w:rPr>
                <w:rFonts w:ascii="Arial" w:eastAsia="Calibri" w:hAnsi="Arial" w:cs="Arial"/>
                <w:sz w:val="18"/>
                <w:szCs w:val="18"/>
              </w:rPr>
              <w:t>Общества</w:t>
            </w:r>
            <w:r>
              <w:rPr>
                <w:rFonts w:ascii="Arial" w:eastAsia="Calibri" w:hAnsi="Arial" w:cs="Times New Roman"/>
                <w:sz w:val="18"/>
              </w:rPr>
              <w:t xml:space="preserve">, </w:t>
            </w:r>
            <w:r>
              <w:rPr>
                <w:rFonts w:ascii="Arial" w:eastAsia="Calibri" w:hAnsi="Arial" w:cs="Times New Roman"/>
                <w:sz w:val="18"/>
              </w:rPr>
              <w:lastRenderedPageBreak/>
              <w:t xml:space="preserve">своевременности и полноты раскрытия </w:t>
            </w:r>
            <w:r>
              <w:rPr>
                <w:rFonts w:ascii="Arial" w:eastAsia="Calibri" w:hAnsi="Arial" w:cs="Arial"/>
                <w:sz w:val="18"/>
                <w:szCs w:val="18"/>
              </w:rPr>
              <w:t>Обществом</w:t>
            </w:r>
            <w:r>
              <w:rPr>
                <w:rFonts w:ascii="Arial" w:eastAsia="Calibri" w:hAnsi="Arial" w:cs="Times New Roman"/>
                <w:sz w:val="18"/>
              </w:rPr>
              <w:t xml:space="preserve"> информации, необременительного доступа акционеров к документам </w:t>
            </w:r>
            <w:r>
              <w:rPr>
                <w:rFonts w:ascii="Arial" w:eastAsia="Calibri" w:hAnsi="Arial" w:cs="Arial"/>
                <w:sz w:val="18"/>
                <w:szCs w:val="18"/>
              </w:rPr>
              <w:t>Общества.</w:t>
            </w:r>
          </w:p>
        </w:tc>
        <w:tc>
          <w:tcPr>
            <w:tcW w:w="3827" w:type="dxa"/>
            <w:shd w:val="clear" w:color="auto" w:fill="DBE5F1"/>
          </w:tcPr>
          <w:p w:rsidR="00C81778" w:rsidRDefault="00AB0D4E" w:rsidP="00AB0D4E">
            <w:pPr>
              <w:widowControl w:val="0"/>
              <w:numPr>
                <w:ilvl w:val="0"/>
                <w:numId w:val="42"/>
              </w:numPr>
              <w:tabs>
                <w:tab w:val="left" w:pos="25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lastRenderedPageBreak/>
              <w:t>Во внутренних документах Общества определены лица, ответственные за реализацию информационной политики.</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lang w:val="en-US"/>
              </w:rPr>
            </w:pPr>
            <w:r>
              <w:rPr>
                <w:rFonts w:ascii="Arial" w:eastAsia="Calibri" w:hAnsi="Arial" w:cs="Arial"/>
                <w:sz w:val="18"/>
                <w:szCs w:val="18"/>
              </w:rPr>
              <w:t>Соблюдается.</w:t>
            </w:r>
          </w:p>
        </w:tc>
        <w:tc>
          <w:tcPr>
            <w:tcW w:w="3966" w:type="dxa"/>
            <w:shd w:val="clear" w:color="auto" w:fill="DBE5F1"/>
          </w:tcPr>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2.1.7</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осуществляет контроль за практикой корпоративного управления в </w:t>
            </w:r>
            <w:r>
              <w:rPr>
                <w:rFonts w:ascii="Arial" w:eastAsia="Times New Roman" w:hAnsi="Arial" w:cs="Arial"/>
                <w:sz w:val="18"/>
                <w:szCs w:val="18"/>
              </w:rPr>
              <w:t>Обществе</w:t>
            </w:r>
            <w:r>
              <w:rPr>
                <w:rFonts w:ascii="Arial" w:eastAsia="Calibri" w:hAnsi="Arial" w:cs="Times New Roman"/>
                <w:sz w:val="18"/>
              </w:rPr>
              <w:t xml:space="preserve"> и играет ключевую роль в существенных корпоративных событиях </w:t>
            </w:r>
            <w:r>
              <w:rPr>
                <w:rFonts w:ascii="Arial" w:eastAsia="Times New Roman" w:hAnsi="Arial" w:cs="Arial"/>
                <w:sz w:val="18"/>
                <w:szCs w:val="18"/>
              </w:rPr>
              <w:t>Общества.</w:t>
            </w:r>
          </w:p>
        </w:tc>
        <w:tc>
          <w:tcPr>
            <w:tcW w:w="3827" w:type="dxa"/>
          </w:tcPr>
          <w:p w:rsidR="00C81778" w:rsidRDefault="00AB0D4E" w:rsidP="00AB0D4E">
            <w:pPr>
              <w:widowControl w:val="0"/>
              <w:numPr>
                <w:ilvl w:val="0"/>
                <w:numId w:val="43"/>
              </w:numPr>
              <w:tabs>
                <w:tab w:val="left" w:pos="27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В течение отчетного периода Совет директоров рассмотрел результаты самооценки и (или) внешней оценки практики корпоративного управления в Обществе.</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Times New Roman"/>
                <w:sz w:val="18"/>
                <w:u w:val="single"/>
              </w:rPr>
              <w:t xml:space="preserve">Критерий </w:t>
            </w:r>
            <w:r>
              <w:rPr>
                <w:rFonts w:ascii="Arial" w:eastAsia="Calibri" w:hAnsi="Arial" w:cs="Times New Roman"/>
                <w:sz w:val="18"/>
                <w:u w:val="single"/>
                <w:lang w:val="en-US"/>
              </w:rPr>
              <w:t>1</w:t>
            </w:r>
            <w:r>
              <w:rPr>
                <w:rFonts w:ascii="Arial" w:eastAsia="Calibri" w:hAnsi="Arial" w:cs="Times New Roman"/>
                <w:sz w:val="18"/>
                <w:u w:val="single"/>
              </w:rPr>
              <w:t>: соблюдается.</w:t>
            </w:r>
          </w:p>
        </w:tc>
      </w:tr>
      <w:tr w:rsidR="00C81778">
        <w:trPr>
          <w:trHeight w:val="304"/>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2.2</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Совет директоров подотчетен акционерам </w:t>
            </w:r>
            <w:r>
              <w:rPr>
                <w:rFonts w:ascii="Arial" w:eastAsia="Calibri" w:hAnsi="Arial" w:cs="Arial"/>
                <w:b/>
                <w:sz w:val="18"/>
                <w:szCs w:val="18"/>
              </w:rPr>
              <w:t>Общества.</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2.2.1</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Информация о работе </w:t>
            </w:r>
            <w:r>
              <w:rPr>
                <w:rFonts w:ascii="Arial" w:eastAsia="Times New Roman" w:hAnsi="Arial" w:cs="Arial"/>
                <w:sz w:val="18"/>
                <w:szCs w:val="18"/>
              </w:rPr>
              <w:t>Совета</w:t>
            </w:r>
            <w:r>
              <w:rPr>
                <w:rFonts w:ascii="Arial" w:eastAsia="Calibri" w:hAnsi="Arial" w:cs="Times New Roman"/>
                <w:sz w:val="18"/>
              </w:rPr>
              <w:t xml:space="preserve"> директоров раскрывается и предоставляется акционерам</w:t>
            </w:r>
            <w:r>
              <w:rPr>
                <w:rFonts w:ascii="Arial" w:eastAsia="Times New Roman" w:hAnsi="Arial" w:cs="Arial"/>
                <w:sz w:val="18"/>
                <w:szCs w:val="18"/>
              </w:rPr>
              <w:t>.</w:t>
            </w:r>
          </w:p>
        </w:tc>
        <w:tc>
          <w:tcPr>
            <w:tcW w:w="3827" w:type="dxa"/>
          </w:tcPr>
          <w:p w:rsidR="00C81778" w:rsidRDefault="00AB0D4E" w:rsidP="00AB0D4E">
            <w:pPr>
              <w:widowControl w:val="0"/>
              <w:numPr>
                <w:ilvl w:val="0"/>
                <w:numId w:val="44"/>
              </w:numPr>
              <w:tabs>
                <w:tab w:val="left" w:pos="31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Годовой отчет </w:t>
            </w:r>
            <w:r>
              <w:rPr>
                <w:rFonts w:ascii="Arial" w:eastAsia="Times New Roman" w:hAnsi="Arial" w:cs="Arial"/>
                <w:sz w:val="18"/>
                <w:szCs w:val="18"/>
              </w:rPr>
              <w:t>Общества</w:t>
            </w:r>
            <w:r>
              <w:rPr>
                <w:rFonts w:ascii="Arial" w:eastAsia="Calibri" w:hAnsi="Arial" w:cs="Times New Roman"/>
                <w:sz w:val="18"/>
              </w:rPr>
              <w:t xml:space="preserve"> за отчетный период включает в себя информацию о посещаемости заседаний </w:t>
            </w:r>
            <w:r>
              <w:rPr>
                <w:rFonts w:ascii="Arial" w:eastAsia="Times New Roman" w:hAnsi="Arial" w:cs="Arial"/>
                <w:sz w:val="18"/>
                <w:szCs w:val="18"/>
              </w:rPr>
              <w:t>Совета</w:t>
            </w:r>
            <w:r>
              <w:rPr>
                <w:rFonts w:ascii="Arial" w:eastAsia="Calibri" w:hAnsi="Arial" w:cs="Times New Roman"/>
                <w:sz w:val="18"/>
              </w:rPr>
              <w:t xml:space="preserve"> директоров и комитетов </w:t>
            </w:r>
            <w:r>
              <w:rPr>
                <w:rFonts w:ascii="Arial" w:eastAsia="Times New Roman" w:hAnsi="Arial" w:cs="Arial"/>
                <w:sz w:val="18"/>
                <w:szCs w:val="18"/>
              </w:rPr>
              <w:t>каждым из членов Совета директоров.</w:t>
            </w:r>
          </w:p>
          <w:p w:rsidR="00C81778" w:rsidRDefault="00AB0D4E" w:rsidP="00AB0D4E">
            <w:pPr>
              <w:widowControl w:val="0"/>
              <w:numPr>
                <w:ilvl w:val="0"/>
                <w:numId w:val="45"/>
              </w:numPr>
              <w:tabs>
                <w:tab w:val="left" w:pos="31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Годовой отчет содержит информацию об основных результатах оценки (самооценки)</w:t>
            </w:r>
            <w:r>
              <w:rPr>
                <w:rFonts w:eastAsia="Calibri" w:cs="Times New Roman"/>
              </w:rPr>
              <w:t xml:space="preserve"> качества </w:t>
            </w:r>
            <w:r>
              <w:rPr>
                <w:rFonts w:ascii="Arial" w:eastAsia="Calibri" w:hAnsi="Arial" w:cs="Times New Roman"/>
                <w:sz w:val="18"/>
              </w:rPr>
              <w:t xml:space="preserve">работы </w:t>
            </w:r>
            <w:r>
              <w:rPr>
                <w:rFonts w:ascii="Arial" w:eastAsia="Times New Roman" w:hAnsi="Arial" w:cs="Arial"/>
                <w:sz w:val="18"/>
                <w:szCs w:val="18"/>
              </w:rPr>
              <w:t>Совета</w:t>
            </w:r>
            <w:r>
              <w:rPr>
                <w:rFonts w:ascii="Arial" w:eastAsia="Calibri" w:hAnsi="Arial" w:cs="Times New Roman"/>
                <w:sz w:val="18"/>
              </w:rPr>
              <w:t xml:space="preserve"> директоров, проведенной в отчетном периоде</w:t>
            </w:r>
            <w:r>
              <w:rPr>
                <w:rFonts w:ascii="Arial" w:eastAsia="Times New Roman" w:hAnsi="Arial" w:cs="Arial"/>
                <w:sz w:val="18"/>
                <w:szCs w:val="18"/>
              </w:rPr>
              <w:t>.</w:t>
            </w:r>
          </w:p>
          <w:p w:rsidR="00C81778" w:rsidRDefault="00C81778">
            <w:pPr>
              <w:widowControl w:val="0"/>
              <w:tabs>
                <w:tab w:val="left" w:pos="315"/>
              </w:tabs>
              <w:spacing w:after="0" w:line="240" w:lineRule="auto"/>
              <w:contextualSpacing/>
              <w:jc w:val="both"/>
              <w:rPr>
                <w:rFonts w:ascii="Arial" w:eastAsia="Times New Roman" w:hAnsi="Arial" w:cs="Arial"/>
                <w:sz w:val="18"/>
                <w:szCs w:val="18"/>
              </w:rPr>
            </w:pPr>
          </w:p>
          <w:p w:rsidR="00C81778" w:rsidRDefault="00C81778">
            <w:pPr>
              <w:spacing w:after="0" w:line="240" w:lineRule="auto"/>
              <w:rPr>
                <w:rFonts w:ascii="Arial" w:eastAsia="Calibri" w:hAnsi="Arial" w:cs="Times New Roman"/>
                <w:sz w:val="18"/>
              </w:rPr>
            </w:pPr>
          </w:p>
        </w:tc>
        <w:tc>
          <w:tcPr>
            <w:tcW w:w="2692" w:type="dxa"/>
          </w:tcPr>
          <w:p w:rsidR="00C81778" w:rsidRDefault="00AB0D4E">
            <w:pPr>
              <w:widowControl w:val="0"/>
              <w:spacing w:after="0" w:line="240" w:lineRule="auto"/>
              <w:contextualSpacing/>
              <w:rPr>
                <w:rFonts w:ascii="Arial" w:eastAsia="Times New Roman" w:hAnsi="Arial" w:cs="Arial"/>
                <w:sz w:val="18"/>
                <w:szCs w:val="18"/>
              </w:rPr>
            </w:pPr>
            <w:r>
              <w:rPr>
                <w:rFonts w:ascii="Arial" w:eastAsia="Times New Roman" w:hAnsi="Arial" w:cs="Arial"/>
                <w:sz w:val="18"/>
                <w:szCs w:val="18"/>
              </w:rPr>
              <w:t>Частично соблюдается.</w:t>
            </w:r>
          </w:p>
          <w:p w:rsidR="00C81778" w:rsidRDefault="00C81778">
            <w:pPr>
              <w:widowControl w:val="0"/>
              <w:spacing w:after="0" w:line="240" w:lineRule="auto"/>
              <w:ind w:left="357"/>
              <w:contextualSpacing/>
              <w:rPr>
                <w:rFonts w:ascii="Arial" w:eastAsia="Calibri" w:hAnsi="Arial" w:cs="Times New Roman"/>
                <w:sz w:val="18"/>
              </w:rPr>
            </w:pPr>
          </w:p>
        </w:tc>
        <w:tc>
          <w:tcPr>
            <w:tcW w:w="3966" w:type="dxa"/>
          </w:tcPr>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1: частично соблюдается.</w:t>
            </w:r>
          </w:p>
          <w:p w:rsidR="00C81778" w:rsidRDefault="00AB0D4E">
            <w:pPr>
              <w:widowControl w:val="0"/>
              <w:tabs>
                <w:tab w:val="left" w:pos="315"/>
              </w:tabs>
              <w:spacing w:after="0" w:line="240" w:lineRule="auto"/>
              <w:contextualSpacing/>
              <w:jc w:val="both"/>
              <w:rPr>
                <w:rFonts w:ascii="Arial" w:eastAsia="Calibri" w:hAnsi="Arial" w:cs="Arial"/>
                <w:sz w:val="18"/>
                <w:szCs w:val="18"/>
              </w:rPr>
            </w:pPr>
            <w:r>
              <w:rPr>
                <w:rFonts w:ascii="Arial" w:eastAsia="Calibri" w:hAnsi="Arial" w:cs="Arial"/>
                <w:sz w:val="18"/>
                <w:szCs w:val="18"/>
              </w:rPr>
              <w:t>Годовой отчет Общества за отчетный период не включает в себя информацию о посещаемости заседаний Совета директоров и комитетов каждым из членов Совета директоров, в связи с тем, что существует риск введения мер ограничительного характера против эмитента/лиц, входящих в состав органов управления эмитента со стороны иностранных государств. При этом данный критерий соблюдался Обществом ранее. В качестве альтернативных мер, данные о посещаемости заседаний Совета директоров и комитетов представлены в Годовом отчете в агрегированном виде.</w:t>
            </w:r>
          </w:p>
          <w:p w:rsidR="00C81778" w:rsidRDefault="00AB0D4E">
            <w:pPr>
              <w:spacing w:after="0" w:line="276" w:lineRule="auto"/>
              <w:jc w:val="both"/>
              <w:rPr>
                <w:rFonts w:ascii="Arial" w:eastAsia="Calibri" w:hAnsi="Arial" w:cs="Times New Roman"/>
                <w:color w:val="FF0000"/>
                <w:sz w:val="18"/>
                <w:u w:val="single"/>
              </w:rPr>
            </w:pPr>
            <w:r>
              <w:rPr>
                <w:rFonts w:ascii="Arial" w:eastAsia="Calibri" w:hAnsi="Arial" w:cs="Arial"/>
                <w:sz w:val="18"/>
                <w:szCs w:val="18"/>
              </w:rPr>
              <w:t xml:space="preserve">Частичное несоответствие является ограниченным по времени, и Общество намерено восстановить соблюдение данного критерия после изменения </w:t>
            </w:r>
            <w:r>
              <w:rPr>
                <w:rFonts w:ascii="Arial" w:eastAsia="Calibri" w:hAnsi="Arial" w:cs="Arial"/>
                <w:bCs/>
                <w:sz w:val="18"/>
                <w:szCs w:val="18"/>
              </w:rPr>
              <w:t xml:space="preserve">внешних обстоятельств, влияющих на возможность введения мер ограничительного характера против Общества или лиц, входящих в состав органов управления, со стороны иностранных государств, или после отмены законодательных актов, направленных на снижение </w:t>
            </w:r>
            <w:proofErr w:type="spellStart"/>
            <w:r>
              <w:rPr>
                <w:rFonts w:ascii="Arial" w:eastAsia="Calibri" w:hAnsi="Arial" w:cs="Arial"/>
                <w:bCs/>
                <w:sz w:val="18"/>
                <w:szCs w:val="18"/>
              </w:rPr>
              <w:t>санкционных</w:t>
            </w:r>
            <w:proofErr w:type="spellEnd"/>
            <w:r>
              <w:rPr>
                <w:rFonts w:ascii="Arial" w:eastAsia="Calibri" w:hAnsi="Arial" w:cs="Arial"/>
                <w:bCs/>
                <w:sz w:val="18"/>
                <w:szCs w:val="18"/>
              </w:rPr>
              <w:t xml:space="preserve"> рисков, в том числе Постановление Правительства РФ от 12.03.2022 № 351 «Об особенностях раскрытия и предоставления информации, подлежащей раскрытию и предоставлению в соответствии с требованиями </w:t>
            </w:r>
            <w:r>
              <w:rPr>
                <w:rFonts w:ascii="Arial" w:eastAsia="Calibri" w:hAnsi="Arial" w:cs="Arial"/>
                <w:bCs/>
                <w:sz w:val="18"/>
                <w:szCs w:val="18"/>
              </w:rPr>
              <w:lastRenderedPageBreak/>
              <w:t>Федерального закона «Об акционерных обществах» и Федерального закона «О рынке ценных бумаг», и</w:t>
            </w:r>
            <w:r>
              <w:rPr>
                <w:rFonts w:ascii="Arial" w:eastAsia="Calibri" w:hAnsi="Arial" w:cs="Arial"/>
                <w:sz w:val="18"/>
                <w:szCs w:val="18"/>
              </w:rPr>
              <w:t xml:space="preserve"> </w:t>
            </w:r>
            <w:r>
              <w:rPr>
                <w:rFonts w:ascii="Arial" w:eastAsia="Calibri" w:hAnsi="Arial" w:cs="Arial"/>
                <w:bCs/>
                <w:sz w:val="18"/>
                <w:szCs w:val="18"/>
              </w:rPr>
              <w:t>особенностях раскрытия инсайдерской информации в соответствии с требованиями Федерального закона «О противодействии неправомерному использованию инсайдерской информации и манипулированию рынком и о внесении изменений в отдельные</w:t>
            </w:r>
            <w:r>
              <w:rPr>
                <w:rFonts w:ascii="Arial" w:eastAsia="Calibri" w:hAnsi="Arial" w:cs="Arial"/>
                <w:sz w:val="18"/>
                <w:szCs w:val="18"/>
              </w:rPr>
              <w:t xml:space="preserve"> </w:t>
            </w:r>
            <w:r>
              <w:rPr>
                <w:rFonts w:ascii="Arial" w:eastAsia="Calibri" w:hAnsi="Arial" w:cs="Arial"/>
                <w:bCs/>
                <w:sz w:val="18"/>
                <w:szCs w:val="18"/>
              </w:rPr>
              <w:t>законодательные акты Российской Федерации».</w:t>
            </w:r>
          </w:p>
          <w:p w:rsidR="00C81778" w:rsidRDefault="00AB0D4E">
            <w:pPr>
              <w:spacing w:after="0" w:line="276" w:lineRule="auto"/>
              <w:jc w:val="both"/>
              <w:rPr>
                <w:rFonts w:ascii="Arial" w:eastAsia="Calibri" w:hAnsi="Arial" w:cs="Times New Roman"/>
                <w:sz w:val="18"/>
              </w:rPr>
            </w:pPr>
            <w:r>
              <w:rPr>
                <w:rFonts w:ascii="Arial" w:eastAsia="Calibri" w:hAnsi="Arial" w:cs="Times New Roman"/>
                <w:sz w:val="18"/>
                <w:u w:val="single"/>
              </w:rPr>
              <w:t>Критерий 2: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2.2.2</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Председатель </w:t>
            </w:r>
            <w:r>
              <w:rPr>
                <w:rFonts w:ascii="Arial" w:eastAsia="Calibri" w:hAnsi="Arial" w:cs="Arial"/>
                <w:sz w:val="18"/>
                <w:szCs w:val="18"/>
              </w:rPr>
              <w:t>Совета</w:t>
            </w:r>
            <w:r>
              <w:rPr>
                <w:rFonts w:ascii="Arial" w:eastAsia="Calibri" w:hAnsi="Arial" w:cs="Times New Roman"/>
                <w:sz w:val="18"/>
              </w:rPr>
              <w:t xml:space="preserve"> директоров доступен для общения с акционерами </w:t>
            </w:r>
            <w:r>
              <w:rPr>
                <w:rFonts w:ascii="Arial" w:eastAsia="Calibri" w:hAnsi="Arial" w:cs="Arial"/>
                <w:sz w:val="18"/>
                <w:szCs w:val="18"/>
              </w:rPr>
              <w:t>Общества.</w:t>
            </w:r>
          </w:p>
        </w:tc>
        <w:tc>
          <w:tcPr>
            <w:tcW w:w="3827" w:type="dxa"/>
            <w:shd w:val="clear" w:color="auto" w:fill="DBE5F1"/>
          </w:tcPr>
          <w:p w:rsidR="00C81778" w:rsidRDefault="00AB0D4E" w:rsidP="00AB0D4E">
            <w:pPr>
              <w:widowControl w:val="0"/>
              <w:numPr>
                <w:ilvl w:val="0"/>
                <w:numId w:val="46"/>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В Обществе существует прозрачная процедура, обеспечивающая акционерам возможность направления председателю Совета директоров (и, если применимо, старшему независимому директору) обращений и получения обратной связи по ним.</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shd w:val="clear" w:color="auto" w:fill="DBE5F1"/>
          </w:tcPr>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2.3</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ind w:right="315"/>
              <w:contextualSpacing/>
              <w:rPr>
                <w:rFonts w:ascii="Arial" w:eastAsia="Calibri" w:hAnsi="Arial" w:cs="Times New Roman"/>
                <w:b/>
                <w:sz w:val="18"/>
              </w:rPr>
            </w:pPr>
            <w:r>
              <w:rPr>
                <w:rFonts w:ascii="Arial" w:eastAsia="Calibri" w:hAnsi="Arial" w:cs="Times New Roman"/>
                <w:b/>
                <w:sz w:val="18"/>
              </w:rPr>
              <w:t xml:space="preserve">Совет директоров является эффективным и профессиональным органом управления </w:t>
            </w:r>
            <w:r>
              <w:rPr>
                <w:rFonts w:ascii="Arial" w:eastAsia="Calibri" w:hAnsi="Arial" w:cs="Arial"/>
                <w:b/>
                <w:sz w:val="18"/>
                <w:szCs w:val="18"/>
              </w:rPr>
              <w:t>Общества</w:t>
            </w:r>
            <w:r>
              <w:rPr>
                <w:rFonts w:ascii="Arial" w:eastAsia="Calibri" w:hAnsi="Arial" w:cs="Times New Roman"/>
                <w:b/>
                <w:sz w:val="18"/>
              </w:rPr>
              <w:t xml:space="preserve">, способным выносить объективные независимые суждения и принимать решения, отвечающие интересам </w:t>
            </w:r>
            <w:r>
              <w:rPr>
                <w:rFonts w:ascii="Arial" w:eastAsia="Calibri" w:hAnsi="Arial" w:cs="Arial"/>
                <w:b/>
                <w:sz w:val="18"/>
                <w:szCs w:val="18"/>
              </w:rPr>
              <w:t>Общества</w:t>
            </w:r>
            <w:r>
              <w:rPr>
                <w:rFonts w:ascii="Arial" w:eastAsia="Calibri" w:hAnsi="Arial" w:cs="Times New Roman"/>
                <w:b/>
                <w:sz w:val="18"/>
              </w:rPr>
              <w:t xml:space="preserve"> и его акционеров</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2.3.1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Только лица, имеющие безупречную деловую и личную репутацию и обладающие знаниями, навыками и опытом, необходимыми для принятия решений, относящихся к компетенции Совета директоров, и требующимися для эффективного осуществления его функций, избираются членами Совета директоров.</w:t>
            </w:r>
          </w:p>
        </w:tc>
        <w:tc>
          <w:tcPr>
            <w:tcW w:w="3827" w:type="dxa"/>
            <w:shd w:val="clear" w:color="auto" w:fill="DBE5F1"/>
          </w:tcPr>
          <w:p w:rsidR="00C81778" w:rsidRDefault="00AB0D4E" w:rsidP="00AB0D4E">
            <w:pPr>
              <w:widowControl w:val="0"/>
              <w:numPr>
                <w:ilvl w:val="0"/>
                <w:numId w:val="47"/>
              </w:numPr>
              <w:tabs>
                <w:tab w:val="left" w:pos="27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В отчетном периоде Советом директоров (или его комитетом по номинациям) была проведена оценка кандидатов в Совет директоров с точки зрения наличия у них необходимого опыта, знаний, деловой репутации, отсутствия конфликта интересов и так далее.</w:t>
            </w:r>
          </w:p>
        </w:tc>
        <w:tc>
          <w:tcPr>
            <w:tcW w:w="2692" w:type="dxa"/>
            <w:shd w:val="clear" w:color="auto" w:fill="DBE5F1"/>
          </w:tcPr>
          <w:p w:rsidR="00C81778" w:rsidRDefault="00AB0D4E">
            <w:pPr>
              <w:widowControl w:val="0"/>
              <w:spacing w:after="200" w:line="276" w:lineRule="auto"/>
              <w:rPr>
                <w:rFonts w:ascii="Arial" w:eastAsia="Calibri" w:hAnsi="Arial" w:cs="Times New Roman"/>
                <w:sz w:val="18"/>
              </w:rPr>
            </w:pPr>
            <w:r>
              <w:rPr>
                <w:rFonts w:ascii="Arial" w:eastAsia="Calibri" w:hAnsi="Arial" w:cs="Times New Roman"/>
                <w:sz w:val="18"/>
              </w:rPr>
              <w:t>Соблюдается</w:t>
            </w:r>
            <w:r>
              <w:rPr>
                <w:rFonts w:ascii="Arial" w:eastAsia="Times New Roman" w:hAnsi="Arial" w:cs="Arial"/>
                <w:sz w:val="18"/>
                <w:szCs w:val="18"/>
              </w:rPr>
              <w:t>.</w:t>
            </w:r>
          </w:p>
        </w:tc>
        <w:tc>
          <w:tcPr>
            <w:tcW w:w="3966" w:type="dxa"/>
            <w:shd w:val="clear" w:color="auto" w:fill="DBE5F1"/>
          </w:tcPr>
          <w:p w:rsidR="00C81778" w:rsidRDefault="00AB0D4E">
            <w:pPr>
              <w:spacing w:after="0" w:line="276" w:lineRule="auto"/>
              <w:jc w:val="both"/>
              <w:rPr>
                <w:rFonts w:ascii="Arial" w:eastAsia="Calibri" w:hAnsi="Arial" w:cs="Times New Roman"/>
                <w:sz w:val="18"/>
                <w:lang w:val="en-US"/>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2.3.2</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Члены </w:t>
            </w:r>
            <w:r>
              <w:rPr>
                <w:rFonts w:ascii="Arial" w:eastAsia="Calibri" w:hAnsi="Arial" w:cs="Arial"/>
                <w:sz w:val="18"/>
                <w:szCs w:val="18"/>
              </w:rPr>
              <w:t>Совета</w:t>
            </w:r>
            <w:r>
              <w:rPr>
                <w:rFonts w:ascii="Arial" w:eastAsia="Calibri" w:hAnsi="Arial" w:cs="Times New Roman"/>
                <w:sz w:val="18"/>
              </w:rPr>
              <w:t xml:space="preserve"> директоров </w:t>
            </w:r>
            <w:r>
              <w:rPr>
                <w:rFonts w:ascii="Arial" w:eastAsia="Calibri" w:hAnsi="Arial" w:cs="Arial"/>
                <w:sz w:val="18"/>
                <w:szCs w:val="18"/>
              </w:rPr>
              <w:t>Общества</w:t>
            </w:r>
            <w:r>
              <w:rPr>
                <w:rFonts w:ascii="Arial" w:eastAsia="Calibri" w:hAnsi="Arial" w:cs="Times New Roman"/>
                <w:sz w:val="18"/>
              </w:rPr>
              <w:t xml:space="preserve"> избираются посредством прозрачной процедуры, позволяющей акционерам получить информацию о кандидатах, достаточную для формирования представления об их личных и профессиональных качествах</w:t>
            </w:r>
            <w:r>
              <w:rPr>
                <w:rFonts w:ascii="Arial" w:eastAsia="Calibri" w:hAnsi="Arial" w:cs="Arial"/>
                <w:sz w:val="18"/>
                <w:szCs w:val="18"/>
              </w:rPr>
              <w:t>.</w:t>
            </w:r>
          </w:p>
        </w:tc>
        <w:tc>
          <w:tcPr>
            <w:tcW w:w="3827" w:type="dxa"/>
          </w:tcPr>
          <w:p w:rsidR="00C81778" w:rsidRDefault="00AB0D4E" w:rsidP="00AB0D4E">
            <w:pPr>
              <w:widowControl w:val="0"/>
              <w:numPr>
                <w:ilvl w:val="0"/>
                <w:numId w:val="48"/>
              </w:numPr>
              <w:tabs>
                <w:tab w:val="left" w:pos="28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Во всех случаях проведения </w:t>
            </w:r>
            <w:r>
              <w:rPr>
                <w:rFonts w:ascii="Arial" w:eastAsia="Calibri" w:hAnsi="Arial" w:cs="Arial"/>
                <w:sz w:val="18"/>
                <w:szCs w:val="18"/>
              </w:rPr>
              <w:t>Общего</w:t>
            </w:r>
            <w:r>
              <w:rPr>
                <w:rFonts w:ascii="Arial" w:eastAsia="Calibri" w:hAnsi="Arial" w:cs="Times New Roman"/>
                <w:sz w:val="18"/>
              </w:rPr>
              <w:t xml:space="preserve"> собрания акционеров в отчетном периоде, повестка дня которого включала вопросы об избрании </w:t>
            </w:r>
            <w:r>
              <w:rPr>
                <w:rFonts w:ascii="Arial" w:eastAsia="Calibri" w:hAnsi="Arial" w:cs="Arial"/>
                <w:sz w:val="18"/>
                <w:szCs w:val="18"/>
              </w:rPr>
              <w:t>Совета</w:t>
            </w:r>
            <w:r>
              <w:rPr>
                <w:rFonts w:ascii="Arial" w:eastAsia="Calibri" w:hAnsi="Arial" w:cs="Times New Roman"/>
                <w:sz w:val="18"/>
              </w:rPr>
              <w:t xml:space="preserve"> директоров, </w:t>
            </w:r>
            <w:r>
              <w:rPr>
                <w:rFonts w:ascii="Arial" w:eastAsia="Calibri" w:hAnsi="Arial" w:cs="Arial"/>
                <w:sz w:val="18"/>
                <w:szCs w:val="18"/>
              </w:rPr>
              <w:t>Общество</w:t>
            </w:r>
            <w:r>
              <w:rPr>
                <w:rFonts w:ascii="Arial" w:eastAsia="Calibri" w:hAnsi="Arial" w:cs="Times New Roman"/>
                <w:sz w:val="18"/>
              </w:rPr>
              <w:t xml:space="preserve"> представило акционерам биографические данные всех кандидатов в члены </w:t>
            </w:r>
            <w:r>
              <w:rPr>
                <w:rFonts w:ascii="Arial" w:eastAsia="Calibri" w:hAnsi="Arial" w:cs="Arial"/>
                <w:sz w:val="18"/>
                <w:szCs w:val="18"/>
              </w:rPr>
              <w:t>Совета</w:t>
            </w:r>
            <w:r>
              <w:rPr>
                <w:rFonts w:ascii="Arial" w:eastAsia="Calibri" w:hAnsi="Arial" w:cs="Times New Roman"/>
                <w:sz w:val="18"/>
              </w:rPr>
              <w:t xml:space="preserve"> директоров, результаты оценки соответствия профессиональной квалификации, опыта и навыков кандидатов текущим и ожидаемым потребностям Общества, проведенной </w:t>
            </w:r>
            <w:r>
              <w:rPr>
                <w:rFonts w:ascii="Arial" w:eastAsia="Calibri" w:hAnsi="Arial" w:cs="Arial"/>
                <w:sz w:val="18"/>
                <w:szCs w:val="18"/>
              </w:rPr>
              <w:t>Советом</w:t>
            </w:r>
            <w:r>
              <w:rPr>
                <w:rFonts w:ascii="Arial" w:eastAsia="Calibri" w:hAnsi="Arial" w:cs="Times New Roman"/>
                <w:sz w:val="18"/>
              </w:rPr>
              <w:t xml:space="preserve"> директоров (или его комитетом по номинациям), а также информацию о </w:t>
            </w:r>
            <w:r>
              <w:rPr>
                <w:rFonts w:ascii="Arial" w:eastAsia="Calibri" w:hAnsi="Arial" w:cs="Times New Roman"/>
                <w:sz w:val="18"/>
              </w:rPr>
              <w:lastRenderedPageBreak/>
              <w:t>соответствии кандидата критериям независимости</w:t>
            </w:r>
            <w:r>
              <w:rPr>
                <w:rFonts w:eastAsia="Calibri" w:cs="Times New Roman"/>
              </w:rPr>
              <w:t xml:space="preserve"> </w:t>
            </w:r>
            <w:r>
              <w:rPr>
                <w:rFonts w:ascii="Arial" w:eastAsia="Calibri" w:hAnsi="Arial" w:cs="Times New Roman"/>
                <w:sz w:val="18"/>
              </w:rPr>
              <w:t xml:space="preserve">согласно </w:t>
            </w:r>
            <w:hyperlink r:id="rId33" w:tooltip="consultantplus://offline/ref=C7B3893B3C99E3A2A15EAE82CAEBCD728FB0C474DB3CFE3DEDA91A1EAC8400A836D534127E64C6984E95D1816FD692AB35030D5C8C0EA0C205C0J" w:history="1">
              <w:r>
                <w:rPr>
                  <w:rFonts w:ascii="Arial" w:eastAsia="Calibri" w:hAnsi="Arial" w:cs="Times New Roman"/>
                  <w:sz w:val="18"/>
                </w:rPr>
                <w:t>рекомендациям 102</w:t>
              </w:r>
            </w:hyperlink>
            <w:r>
              <w:rPr>
                <w:rFonts w:ascii="Arial" w:eastAsia="Calibri" w:hAnsi="Arial" w:cs="Times New Roman"/>
                <w:sz w:val="18"/>
              </w:rPr>
              <w:t xml:space="preserve"> - </w:t>
            </w:r>
            <w:hyperlink r:id="rId34" w:tooltip="consultantplus://offline/ref=C7B3893B3C99E3A2A15EAE82CAEBCD728FB0C474DB3CFE3DEDA91A1EAC8400A836D534127E64C69D4B95D1816FD692AB35030D5C8C0EA0C205C0J" w:history="1">
              <w:r>
                <w:rPr>
                  <w:rFonts w:ascii="Arial" w:eastAsia="Calibri" w:hAnsi="Arial" w:cs="Times New Roman"/>
                  <w:sz w:val="18"/>
                </w:rPr>
                <w:t>107</w:t>
              </w:r>
            </w:hyperlink>
            <w:r>
              <w:rPr>
                <w:rFonts w:ascii="Arial" w:eastAsia="Calibri" w:hAnsi="Arial" w:cs="Times New Roman"/>
                <w:sz w:val="18"/>
              </w:rPr>
              <w:t xml:space="preserve"> Кодекса и информацию о наличии письменного согласия кандидатов на избрание в состав </w:t>
            </w:r>
            <w:r>
              <w:rPr>
                <w:rFonts w:ascii="Arial" w:eastAsia="Calibri" w:hAnsi="Arial" w:cs="Arial"/>
                <w:sz w:val="18"/>
                <w:szCs w:val="18"/>
              </w:rPr>
              <w:t>Совета</w:t>
            </w:r>
            <w:r>
              <w:rPr>
                <w:rFonts w:ascii="Arial" w:eastAsia="Calibri" w:hAnsi="Arial" w:cs="Times New Roman"/>
                <w:sz w:val="18"/>
              </w:rPr>
              <w:t xml:space="preserve"> директоров</w:t>
            </w:r>
            <w:r>
              <w:rPr>
                <w:rFonts w:ascii="Arial" w:eastAsia="Calibri"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lastRenderedPageBreak/>
              <w:t>Соблюдается.</w:t>
            </w:r>
          </w:p>
        </w:tc>
        <w:tc>
          <w:tcPr>
            <w:tcW w:w="3966" w:type="dxa"/>
          </w:tcPr>
          <w:p w:rsidR="00C81778" w:rsidRDefault="00AB0D4E">
            <w:pPr>
              <w:widowControl w:val="0"/>
              <w:spacing w:after="200" w:line="276" w:lineRule="auto"/>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240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2.3.3</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Состав </w:t>
            </w:r>
            <w:r>
              <w:rPr>
                <w:rFonts w:ascii="Arial" w:eastAsia="Times New Roman" w:hAnsi="Arial" w:cs="Arial"/>
                <w:sz w:val="18"/>
                <w:szCs w:val="18"/>
              </w:rPr>
              <w:t>Совета</w:t>
            </w:r>
            <w:r>
              <w:rPr>
                <w:rFonts w:ascii="Arial" w:eastAsia="Calibri" w:hAnsi="Arial" w:cs="Times New Roman"/>
                <w:sz w:val="18"/>
              </w:rPr>
              <w:t xml:space="preserve"> директоров сбалансирован, в том числе по квалификации его членов, их опыту, знаниям и деловым качествам, и пользуется доверием акционеров</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49"/>
              </w:numPr>
              <w:tabs>
                <w:tab w:val="left" w:pos="28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В отчетном периоде</w:t>
            </w:r>
            <w:r>
              <w:rPr>
                <w:rFonts w:ascii="Arial" w:eastAsia="Times New Roman" w:hAnsi="Arial" w:cs="Arial"/>
                <w:sz w:val="18"/>
                <w:szCs w:val="18"/>
              </w:rPr>
              <w:t xml:space="preserve"> Совет</w:t>
            </w:r>
            <w:r>
              <w:rPr>
                <w:rFonts w:ascii="Arial" w:eastAsia="Calibri" w:hAnsi="Arial" w:cs="Times New Roman"/>
                <w:sz w:val="18"/>
              </w:rPr>
              <w:t xml:space="preserve"> директоров проанализировал собственные потребности в области профессиональной квалификации, опыта и навыков и определил компетенции, необходимые Совету директоров в краткосрочной и долгосрочной перспективе.</w:t>
            </w:r>
          </w:p>
        </w:tc>
        <w:tc>
          <w:tcPr>
            <w:tcW w:w="2692" w:type="dxa"/>
            <w:shd w:val="clear" w:color="auto" w:fill="DBE5F1"/>
          </w:tcPr>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Arial"/>
                <w:sz w:val="18"/>
                <w:szCs w:val="18"/>
              </w:rPr>
              <w:t>Частично соблюдается.</w:t>
            </w: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частично соблюдается.</w:t>
            </w:r>
          </w:p>
          <w:p w:rsidR="00C81778" w:rsidRDefault="00AB0D4E">
            <w:pPr>
              <w:widowControl w:val="0"/>
              <w:spacing w:after="200" w:line="276" w:lineRule="auto"/>
              <w:ind w:left="11"/>
              <w:jc w:val="both"/>
              <w:rPr>
                <w:rFonts w:ascii="Arial" w:hAnsi="Arial" w:cs="Arial"/>
                <w:sz w:val="18"/>
                <w:szCs w:val="18"/>
              </w:rPr>
            </w:pPr>
            <w:r>
              <w:rPr>
                <w:rFonts w:ascii="Arial" w:eastAsia="Calibri" w:hAnsi="Arial" w:cs="Arial"/>
                <w:sz w:val="18"/>
                <w:szCs w:val="18"/>
              </w:rPr>
              <w:t>В отчетном периоде Совет директоров не проводил анализ собственных потребностей в области профессиональной квалификации, опыта и навыков и не определял компетенции, необходимые в краткосрочной и долгосрочной перспективе. Все члены Совета директоров Общества обладают значительным опытом работы на руководящих должностях, многие – в энергетике. В совокупности члены Совета директоров Общества обладают широким набором профессиональных компетенций и управленческого опыта.</w:t>
            </w:r>
            <w:r>
              <w:rPr>
                <w:rFonts w:ascii="Arial Narrow" w:eastAsia="Times New Roman" w:hAnsi="Arial Narrow" w:cs="Times New Roman"/>
                <w:color w:val="000000"/>
                <w:spacing w:val="-4"/>
                <w:sz w:val="18"/>
                <w:szCs w:val="18"/>
                <w:lang w:eastAsia="ru-RU"/>
              </w:rPr>
              <w:t xml:space="preserve"> </w:t>
            </w:r>
            <w:r>
              <w:rPr>
                <w:rFonts w:ascii="Arial" w:eastAsia="Calibri" w:hAnsi="Arial" w:cs="Arial"/>
                <w:sz w:val="18"/>
                <w:szCs w:val="18"/>
              </w:rPr>
              <w:t>В Положении о Совете директоров ПАО «ОГК-2» указано, что Общество заинтересовано в том, чтобы акционеры выдвигали в Совет директоров Общества кандидатов, обладающих опытом и знаниями в сфере электроэнергетики, финансов, аудита, стратегического управления, управления рисками, кадров и вознаграждений, корпоративного управления, модернизации производства, инноваций и инвестиций, устойчивого развития, опытом работы в советах директоров или на высших должностях других публичных компаний, в том числе международных (п.3.2 ст. 3 Положения).</w:t>
            </w:r>
          </w:p>
          <w:p w:rsidR="00C81778" w:rsidRDefault="00AB0D4E">
            <w:pPr>
              <w:widowControl w:val="0"/>
              <w:spacing w:after="200" w:line="276" w:lineRule="auto"/>
              <w:ind w:left="11"/>
              <w:jc w:val="both"/>
              <w:rPr>
                <w:rFonts w:ascii="Arial" w:hAnsi="Arial" w:cs="Arial"/>
                <w:sz w:val="18"/>
                <w:szCs w:val="18"/>
              </w:rPr>
            </w:pPr>
            <w:r>
              <w:rPr>
                <w:rFonts w:ascii="Arial" w:eastAsia="Calibri" w:hAnsi="Arial" w:cs="Arial"/>
                <w:sz w:val="18"/>
                <w:szCs w:val="18"/>
              </w:rPr>
              <w:t xml:space="preserve">В качестве альтернативной практики, Комитетом по кадрам и вознаграждениям Совета директоров Общества в отчетный период был проведен анализ соответствия кандидатов в Совет директоров ПАО «ОГК-2» для избрания на годовом Общем собрании акционеров требованиям к </w:t>
            </w:r>
            <w:r>
              <w:rPr>
                <w:rFonts w:ascii="Arial" w:eastAsia="Calibri" w:hAnsi="Arial" w:cs="Arial"/>
                <w:sz w:val="18"/>
                <w:szCs w:val="18"/>
              </w:rPr>
              <w:lastRenderedPageBreak/>
              <w:t>профессиональной квалификации, опыту, деловым навыкам и критериям независимости, результаты которого были включены в состав материалов к годовому Общему собранию акционеров.</w:t>
            </w:r>
          </w:p>
          <w:p w:rsidR="00C81778" w:rsidRDefault="00AB0D4E">
            <w:pPr>
              <w:widowControl w:val="0"/>
              <w:spacing w:after="200" w:line="276" w:lineRule="auto"/>
              <w:ind w:left="11"/>
              <w:jc w:val="both"/>
              <w:rPr>
                <w:rFonts w:ascii="Arial" w:eastAsia="Calibri" w:hAnsi="Arial" w:cs="Times New Roman"/>
                <w:sz w:val="18"/>
              </w:rPr>
            </w:pPr>
            <w:r>
              <w:rPr>
                <w:rFonts w:ascii="Arial" w:eastAsia="Times New Roman" w:hAnsi="Arial" w:cs="Arial"/>
                <w:sz w:val="18"/>
                <w:szCs w:val="18"/>
              </w:rPr>
              <w:t>В настоящее время, Обществом проведена оценка деятельности Совета</w:t>
            </w:r>
            <w:r>
              <w:rPr>
                <w:rFonts w:ascii="Arial Narrow" w:eastAsia="Times New Roman" w:hAnsi="Arial Narrow" w:cs="Times New Roman"/>
                <w:color w:val="000000"/>
                <w:spacing w:val="-4"/>
                <w:sz w:val="18"/>
                <w:szCs w:val="18"/>
                <w:lang w:eastAsia="ru-RU"/>
              </w:rPr>
              <w:t xml:space="preserve"> </w:t>
            </w:r>
            <w:r>
              <w:rPr>
                <w:rFonts w:ascii="Arial" w:eastAsia="Times New Roman" w:hAnsi="Arial" w:cs="Arial"/>
                <w:sz w:val="18"/>
                <w:szCs w:val="18"/>
              </w:rPr>
              <w:t>директоров и комитетов по итогам 2023-2024 гг. Также, в 2024 г. Общество планирует утвердить внутренний документ, определяющий порядок оценки (самооценки) Совета директоров с учетом «Методических рекомендаций по организации и проведению самооценки эффективности совета директоров в публичных акционерных обществах», подготовленных Банком России, который будет определять, в том числе, и порядок оценки потребностей Совета директоров в отдельных компетенциях и предпринимаемые по результатам такой оценки меры.</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2.3.4</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Количественный состав </w:t>
            </w:r>
            <w:r>
              <w:rPr>
                <w:rFonts w:ascii="Arial" w:eastAsia="Times New Roman" w:hAnsi="Arial" w:cs="Arial"/>
                <w:sz w:val="18"/>
                <w:szCs w:val="18"/>
              </w:rPr>
              <w:t>Совета</w:t>
            </w:r>
            <w:r>
              <w:rPr>
                <w:rFonts w:ascii="Arial" w:eastAsia="Calibri" w:hAnsi="Arial" w:cs="Times New Roman"/>
                <w:sz w:val="18"/>
              </w:rPr>
              <w:t xml:space="preserve"> директоров </w:t>
            </w:r>
            <w:r>
              <w:rPr>
                <w:rFonts w:ascii="Arial" w:eastAsia="Times New Roman" w:hAnsi="Arial" w:cs="Arial"/>
                <w:sz w:val="18"/>
                <w:szCs w:val="18"/>
              </w:rPr>
              <w:t>Общества</w:t>
            </w:r>
            <w:r>
              <w:rPr>
                <w:rFonts w:ascii="Arial" w:eastAsia="Calibri" w:hAnsi="Arial" w:cs="Times New Roman"/>
                <w:sz w:val="18"/>
              </w:rPr>
              <w:t xml:space="preserve"> дает возможность организовать деятельность </w:t>
            </w:r>
            <w:r>
              <w:rPr>
                <w:rFonts w:ascii="Arial" w:eastAsia="Times New Roman" w:hAnsi="Arial" w:cs="Arial"/>
                <w:sz w:val="18"/>
                <w:szCs w:val="18"/>
              </w:rPr>
              <w:t>Совета</w:t>
            </w:r>
            <w:r>
              <w:rPr>
                <w:rFonts w:ascii="Arial" w:eastAsia="Calibri" w:hAnsi="Arial" w:cs="Times New Roman"/>
                <w:sz w:val="18"/>
              </w:rPr>
              <w:t xml:space="preserve"> директоров наиболее эффективным образом, включая возможность формирования комитетов </w:t>
            </w:r>
            <w:r>
              <w:rPr>
                <w:rFonts w:ascii="Arial" w:eastAsia="Times New Roman" w:hAnsi="Arial" w:cs="Arial"/>
                <w:sz w:val="18"/>
                <w:szCs w:val="18"/>
              </w:rPr>
              <w:t>Совета</w:t>
            </w:r>
            <w:r>
              <w:rPr>
                <w:rFonts w:ascii="Arial" w:eastAsia="Calibri" w:hAnsi="Arial" w:cs="Times New Roman"/>
                <w:sz w:val="18"/>
              </w:rPr>
              <w:t xml:space="preserve"> директоров, а также обеспечивает существенным миноритарным акционерам </w:t>
            </w:r>
            <w:r>
              <w:rPr>
                <w:rFonts w:ascii="Arial" w:eastAsia="Times New Roman" w:hAnsi="Arial" w:cs="Arial"/>
                <w:sz w:val="18"/>
                <w:szCs w:val="18"/>
              </w:rPr>
              <w:t>Общества</w:t>
            </w:r>
            <w:r>
              <w:rPr>
                <w:rFonts w:ascii="Arial" w:eastAsia="Calibri" w:hAnsi="Arial" w:cs="Times New Roman"/>
                <w:sz w:val="18"/>
              </w:rPr>
              <w:t xml:space="preserve"> возможность избрания в состав </w:t>
            </w:r>
            <w:r>
              <w:rPr>
                <w:rFonts w:ascii="Arial" w:eastAsia="Times New Roman" w:hAnsi="Arial" w:cs="Arial"/>
                <w:sz w:val="18"/>
                <w:szCs w:val="18"/>
              </w:rPr>
              <w:t>Совета</w:t>
            </w:r>
            <w:r>
              <w:rPr>
                <w:rFonts w:ascii="Arial" w:eastAsia="Calibri" w:hAnsi="Arial" w:cs="Times New Roman"/>
                <w:sz w:val="18"/>
              </w:rPr>
              <w:t xml:space="preserve"> директоров кандидата, за которого они голосуют</w:t>
            </w:r>
            <w:r>
              <w:rPr>
                <w:rFonts w:ascii="Arial" w:eastAsia="Times New Roman" w:hAnsi="Arial" w:cs="Arial"/>
                <w:sz w:val="18"/>
                <w:szCs w:val="18"/>
              </w:rPr>
              <w:t>.</w:t>
            </w:r>
          </w:p>
        </w:tc>
        <w:tc>
          <w:tcPr>
            <w:tcW w:w="3827" w:type="dxa"/>
          </w:tcPr>
          <w:p w:rsidR="00C81778" w:rsidRDefault="00AB0D4E" w:rsidP="00AB0D4E">
            <w:pPr>
              <w:widowControl w:val="0"/>
              <w:numPr>
                <w:ilvl w:val="0"/>
                <w:numId w:val="50"/>
              </w:numPr>
              <w:tabs>
                <w:tab w:val="left" w:pos="255"/>
              </w:tabs>
              <w:spacing w:after="0" w:line="240" w:lineRule="auto"/>
              <w:ind w:left="0" w:firstLine="0"/>
              <w:contextualSpacing/>
              <w:jc w:val="both"/>
              <w:rPr>
                <w:rFonts w:ascii="Arial" w:eastAsia="Calibri" w:hAnsi="Arial" w:cs="Arial"/>
                <w:sz w:val="18"/>
                <w:szCs w:val="18"/>
              </w:rPr>
            </w:pPr>
            <w:r>
              <w:rPr>
                <w:rFonts w:ascii="Arial" w:eastAsia="Calibri" w:hAnsi="Arial" w:cs="Arial"/>
                <w:sz w:val="18"/>
                <w:szCs w:val="18"/>
              </w:rPr>
              <w:t>В отчетном периоде Совет директоров рассмотрел вопрос о соответствии количественного состава Совета директоров потребностям Общества и интересам акционеров.</w:t>
            </w:r>
          </w:p>
        </w:tc>
        <w:tc>
          <w:tcPr>
            <w:tcW w:w="2692" w:type="dxa"/>
          </w:tcPr>
          <w:p w:rsidR="00C81778" w:rsidRDefault="00AB0D4E">
            <w:pPr>
              <w:widowControl w:val="0"/>
              <w:spacing w:after="200" w:line="276" w:lineRule="auto"/>
              <w:contextualSpacing/>
              <w:rPr>
                <w:rFonts w:ascii="Arial" w:eastAsia="Calibri" w:hAnsi="Arial" w:cs="Arial"/>
                <w:sz w:val="18"/>
                <w:szCs w:val="18"/>
              </w:rPr>
            </w:pPr>
            <w:r>
              <w:rPr>
                <w:rFonts w:ascii="Arial" w:eastAsia="Calibri" w:hAnsi="Arial" w:cs="Arial"/>
                <w:sz w:val="18"/>
                <w:szCs w:val="18"/>
              </w:rPr>
              <w:t>Соблюдается</w:t>
            </w:r>
          </w:p>
        </w:tc>
        <w:tc>
          <w:tcPr>
            <w:tcW w:w="3966" w:type="dxa"/>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соблюдается.</w:t>
            </w:r>
          </w:p>
          <w:p w:rsidR="00C81778" w:rsidRDefault="00AB0D4E">
            <w:pPr>
              <w:spacing w:after="0" w:line="276" w:lineRule="auto"/>
              <w:jc w:val="both"/>
              <w:rPr>
                <w:rFonts w:ascii="Arial" w:hAnsi="Arial" w:cs="Arial"/>
                <w:sz w:val="18"/>
                <w:szCs w:val="18"/>
              </w:rPr>
            </w:pPr>
            <w:r>
              <w:rPr>
                <w:rFonts w:ascii="Arial" w:eastAsia="Calibri" w:hAnsi="Arial" w:cs="Arial"/>
                <w:sz w:val="18"/>
                <w:szCs w:val="18"/>
              </w:rPr>
              <w:t xml:space="preserve">Комментарий к соблюдению критерия 1: в отчетном периоде Совет директоров не рассматривал вопрос о соответствии количественного состава Совета директоров потребностям Общества и интересам акционеров отдельным вопросом. При этом, вопрос рассматривался в рамках утверждения новой редакции Устава, изменения в которой, в том числе, касались пункта о количественном составе: конкретное количество членов Совета директоров было заменено на более мягкую формулировку «количественный состав Совета директоров определяется Общим собранием акционеров, но не может быть </w:t>
            </w:r>
            <w:r>
              <w:rPr>
                <w:rFonts w:ascii="Arial" w:eastAsia="Calibri" w:hAnsi="Arial" w:cs="Arial"/>
                <w:sz w:val="18"/>
                <w:szCs w:val="18"/>
              </w:rPr>
              <w:lastRenderedPageBreak/>
              <w:t>менее 11 человек» (п.19.4 ст. 19 Устава ПАО «ОГК-2»).</w:t>
            </w:r>
          </w:p>
          <w:p w:rsidR="00C81778" w:rsidRDefault="00AB0D4E">
            <w:pPr>
              <w:widowControl w:val="0"/>
              <w:spacing w:after="200" w:line="276" w:lineRule="auto"/>
              <w:contextualSpacing/>
              <w:jc w:val="both"/>
              <w:rPr>
                <w:rFonts w:ascii="Arial" w:eastAsia="Calibri" w:hAnsi="Arial" w:cs="Times New Roman"/>
                <w:sz w:val="18"/>
              </w:rPr>
            </w:pPr>
            <w:r>
              <w:rPr>
                <w:rFonts w:ascii="Arial" w:eastAsia="Times New Roman" w:hAnsi="Arial" w:cs="Arial"/>
                <w:sz w:val="18"/>
                <w:szCs w:val="18"/>
              </w:rPr>
              <w:t>Кроме того, в настоящее время, Обществом проведена оценка деятельности Совета директоров и комитетов по итогам 2023-2024гг., результаты которой рассмотрены Советом директоров Общества, в том числе, на предмет оценки соответствия состава Совета директоров потребностям Общества и интересам акционеров.</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2.4</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В состав </w:t>
            </w:r>
            <w:r>
              <w:rPr>
                <w:rFonts w:ascii="Arial" w:eastAsia="Calibri" w:hAnsi="Arial" w:cs="Arial"/>
                <w:b/>
                <w:sz w:val="18"/>
                <w:szCs w:val="18"/>
              </w:rPr>
              <w:t>Совета</w:t>
            </w:r>
            <w:r>
              <w:rPr>
                <w:rFonts w:ascii="Arial" w:eastAsia="Calibri" w:hAnsi="Arial" w:cs="Times New Roman"/>
                <w:b/>
                <w:sz w:val="18"/>
              </w:rPr>
              <w:t xml:space="preserve"> директоров входит </w:t>
            </w:r>
            <w:r>
              <w:rPr>
                <w:rFonts w:eastAsia="Calibri" w:cs="Times New Roman"/>
                <w:b/>
              </w:rPr>
              <w:t>достаточное количество</w:t>
            </w:r>
            <w:r>
              <w:rPr>
                <w:rFonts w:ascii="Arial" w:eastAsia="Calibri" w:hAnsi="Arial" w:cs="Times New Roman"/>
                <w:b/>
                <w:sz w:val="18"/>
              </w:rPr>
              <w:t xml:space="preserve"> независимых директоров</w:t>
            </w:r>
            <w:r>
              <w:rPr>
                <w:rFonts w:ascii="Arial" w:eastAsia="Calibri" w:hAnsi="Arial" w:cs="Arial"/>
                <w:b/>
                <w:sz w:val="18"/>
                <w:szCs w:val="18"/>
              </w:rPr>
              <w:t>.</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2.4.1</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Независимым директором признается лицо, которое обладает достаточными профессионализмом, опытом и самостоятельностью для формирования собственной позиции, способно выносить объективные и добросовестные суждения, независимые от влияния исполнительных органов Общества, отдельных групп акционеров или иных заинтересованных сторон.</w:t>
            </w:r>
            <w:r>
              <w:rPr>
                <w:rFonts w:ascii="Arial" w:eastAsia="Calibri" w:hAnsi="Arial" w:cs="Arial"/>
                <w:sz w:val="18"/>
                <w:szCs w:val="18"/>
              </w:rPr>
              <w:t xml:space="preserve"> </w:t>
            </w:r>
            <w:r>
              <w:rPr>
                <w:rFonts w:ascii="Arial" w:eastAsia="Calibri" w:hAnsi="Arial" w:cs="Times New Roman"/>
                <w:sz w:val="18"/>
              </w:rPr>
              <w:t xml:space="preserve">При этом следует учитывать, что в обычных условиях не может считаться независимым кандидат (избранный член </w:t>
            </w:r>
            <w:r>
              <w:rPr>
                <w:rFonts w:ascii="Arial" w:eastAsia="Calibri" w:hAnsi="Arial" w:cs="Arial"/>
                <w:sz w:val="18"/>
                <w:szCs w:val="18"/>
              </w:rPr>
              <w:t>Совета</w:t>
            </w:r>
            <w:r>
              <w:rPr>
                <w:rFonts w:ascii="Arial" w:eastAsia="Calibri" w:hAnsi="Arial" w:cs="Times New Roman"/>
                <w:sz w:val="18"/>
              </w:rPr>
              <w:t xml:space="preserve"> директоров), который связан с </w:t>
            </w:r>
            <w:r>
              <w:rPr>
                <w:rFonts w:ascii="Arial" w:eastAsia="Calibri" w:hAnsi="Arial" w:cs="Arial"/>
                <w:sz w:val="18"/>
                <w:szCs w:val="18"/>
              </w:rPr>
              <w:t>Обществом</w:t>
            </w:r>
            <w:r>
              <w:rPr>
                <w:rFonts w:ascii="Arial" w:eastAsia="Calibri" w:hAnsi="Arial" w:cs="Times New Roman"/>
                <w:sz w:val="18"/>
              </w:rPr>
              <w:t xml:space="preserve">, его существенным акционером, существенным контрагентом или конкурентом </w:t>
            </w:r>
            <w:r>
              <w:rPr>
                <w:rFonts w:ascii="Arial" w:eastAsia="Calibri" w:hAnsi="Arial" w:cs="Arial"/>
                <w:sz w:val="18"/>
                <w:szCs w:val="18"/>
              </w:rPr>
              <w:t>Общества,</w:t>
            </w:r>
            <w:r>
              <w:rPr>
                <w:rFonts w:ascii="Arial" w:eastAsia="Calibri" w:hAnsi="Arial" w:cs="Times New Roman"/>
                <w:sz w:val="18"/>
              </w:rPr>
              <w:t xml:space="preserve"> или связан с государством</w:t>
            </w:r>
            <w:r>
              <w:rPr>
                <w:rFonts w:ascii="Arial" w:eastAsia="Calibri" w:hAnsi="Arial" w:cs="Arial"/>
                <w:sz w:val="18"/>
                <w:szCs w:val="18"/>
              </w:rPr>
              <w:t>.</w:t>
            </w:r>
          </w:p>
        </w:tc>
        <w:tc>
          <w:tcPr>
            <w:tcW w:w="3827" w:type="dxa"/>
          </w:tcPr>
          <w:p w:rsidR="00C81778" w:rsidRDefault="00AB0D4E" w:rsidP="00AB0D4E">
            <w:pPr>
              <w:widowControl w:val="0"/>
              <w:numPr>
                <w:ilvl w:val="0"/>
                <w:numId w:val="51"/>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В течение отчетного периода все независимые члены </w:t>
            </w:r>
            <w:r>
              <w:rPr>
                <w:rFonts w:ascii="Arial" w:eastAsia="Calibri" w:hAnsi="Arial" w:cs="Arial"/>
                <w:sz w:val="18"/>
                <w:szCs w:val="18"/>
              </w:rPr>
              <w:t>Совета</w:t>
            </w:r>
            <w:r>
              <w:rPr>
                <w:rFonts w:ascii="Arial" w:eastAsia="Calibri" w:hAnsi="Arial" w:cs="Times New Roman"/>
                <w:sz w:val="18"/>
              </w:rPr>
              <w:t xml:space="preserve"> директоров отвечали всем критериям независимости, указанным в </w:t>
            </w:r>
            <w:r>
              <w:rPr>
                <w:rFonts w:ascii="Arial" w:eastAsia="Calibri" w:hAnsi="Arial" w:cs="Arial"/>
                <w:sz w:val="18"/>
                <w:szCs w:val="18"/>
              </w:rPr>
              <w:t>рекомендациях 102-107</w:t>
            </w:r>
            <w:r>
              <w:rPr>
                <w:rFonts w:ascii="Arial" w:eastAsia="Calibri" w:hAnsi="Arial" w:cs="Times New Roman"/>
                <w:sz w:val="18"/>
              </w:rPr>
              <w:t xml:space="preserve"> Кодекса, или были признаны независимыми по решению </w:t>
            </w:r>
            <w:r>
              <w:rPr>
                <w:rFonts w:ascii="Arial" w:eastAsia="Calibri" w:hAnsi="Arial" w:cs="Arial"/>
                <w:sz w:val="18"/>
                <w:szCs w:val="18"/>
              </w:rPr>
              <w:t>Совета</w:t>
            </w:r>
            <w:r>
              <w:rPr>
                <w:rFonts w:ascii="Arial" w:eastAsia="Calibri" w:hAnsi="Arial" w:cs="Times New Roman"/>
                <w:sz w:val="18"/>
              </w:rPr>
              <w:t xml:space="preserve"> директоров</w:t>
            </w:r>
            <w:r>
              <w:rPr>
                <w:rFonts w:ascii="Arial" w:eastAsia="Calibri"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Частично соблюдается.</w:t>
            </w:r>
          </w:p>
        </w:tc>
        <w:tc>
          <w:tcPr>
            <w:tcW w:w="3966" w:type="dxa"/>
          </w:tcPr>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Критерий 1: частично соблюдается.</w:t>
            </w:r>
          </w:p>
          <w:p w:rsidR="00C81778" w:rsidRDefault="00AB0D4E">
            <w:pPr>
              <w:spacing w:after="0" w:line="276" w:lineRule="auto"/>
              <w:jc w:val="both"/>
              <w:rPr>
                <w:rFonts w:ascii="Arial" w:eastAsia="Calibri" w:hAnsi="Arial" w:cs="Times New Roman"/>
                <w:sz w:val="18"/>
              </w:rPr>
            </w:pPr>
            <w:bookmarkStart w:id="40" w:name="_Hlk163215660"/>
            <w:r>
              <w:rPr>
                <w:rFonts w:ascii="Arial" w:eastAsia="Calibri" w:hAnsi="Arial" w:cs="Times New Roman"/>
                <w:sz w:val="18"/>
              </w:rPr>
              <w:t>Несоответствие данному критерию является ограниченным по времени, в 2024 году все независимые члены Совета директоров будут отвечать всем критериям независимости, указанным в рекомендациях 102-107 Кодекса, или будут признаны независимыми по решению Совета директоров.</w:t>
            </w:r>
            <w:bookmarkEnd w:id="40"/>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2.4.2</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Проводится оценка соответствия кандидатов в члены </w:t>
            </w:r>
            <w:r>
              <w:rPr>
                <w:rFonts w:ascii="Arial" w:eastAsia="Times New Roman" w:hAnsi="Arial" w:cs="Arial"/>
                <w:sz w:val="18"/>
                <w:szCs w:val="18"/>
              </w:rPr>
              <w:t>Совета</w:t>
            </w:r>
            <w:r>
              <w:rPr>
                <w:rFonts w:ascii="Arial" w:eastAsia="Calibri" w:hAnsi="Arial" w:cs="Times New Roman"/>
                <w:sz w:val="18"/>
              </w:rPr>
              <w:t xml:space="preserve"> директоров критериям независимости, а также осуществляется регулярный анализ соответствия независимых членов </w:t>
            </w:r>
            <w:r>
              <w:rPr>
                <w:rFonts w:ascii="Arial" w:eastAsia="Times New Roman" w:hAnsi="Arial" w:cs="Arial"/>
                <w:sz w:val="18"/>
                <w:szCs w:val="18"/>
              </w:rPr>
              <w:t>Совета</w:t>
            </w:r>
            <w:r>
              <w:rPr>
                <w:rFonts w:ascii="Arial" w:eastAsia="Calibri" w:hAnsi="Arial" w:cs="Times New Roman"/>
                <w:sz w:val="18"/>
              </w:rPr>
              <w:t xml:space="preserve"> директоров критериям независимости. При проведении такой оценки содержание преобладает над формой</w:t>
            </w:r>
            <w:r>
              <w:rPr>
                <w:rFonts w:ascii="Arial" w:eastAsia="Times New Roman" w:hAnsi="Arial" w:cs="Arial"/>
                <w:sz w:val="18"/>
                <w:szCs w:val="18"/>
              </w:rPr>
              <w:t>.</w:t>
            </w:r>
          </w:p>
        </w:tc>
        <w:tc>
          <w:tcPr>
            <w:tcW w:w="3827" w:type="dxa"/>
            <w:shd w:val="clear" w:color="auto" w:fill="DBE5F1"/>
          </w:tcPr>
          <w:p w:rsidR="00C81778" w:rsidRDefault="00AB0D4E">
            <w:pPr>
              <w:widowControl w:val="0"/>
              <w:numPr>
                <w:ilvl w:val="0"/>
                <w:numId w:val="16"/>
              </w:numPr>
              <w:tabs>
                <w:tab w:val="left" w:pos="285"/>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В отчетном периоде </w:t>
            </w:r>
            <w:r>
              <w:rPr>
                <w:rFonts w:ascii="Arial" w:eastAsia="Times New Roman" w:hAnsi="Arial" w:cs="Arial"/>
                <w:sz w:val="18"/>
                <w:szCs w:val="18"/>
              </w:rPr>
              <w:t>Совет</w:t>
            </w:r>
            <w:r>
              <w:rPr>
                <w:rFonts w:ascii="Arial" w:eastAsia="Calibri" w:hAnsi="Arial" w:cs="Times New Roman"/>
                <w:sz w:val="18"/>
              </w:rPr>
              <w:t xml:space="preserve"> директоров (или комитет по номинациям </w:t>
            </w:r>
            <w:r>
              <w:rPr>
                <w:rFonts w:ascii="Arial" w:eastAsia="Times New Roman" w:hAnsi="Arial" w:cs="Arial"/>
                <w:sz w:val="18"/>
                <w:szCs w:val="18"/>
              </w:rPr>
              <w:t>Совета</w:t>
            </w:r>
            <w:r>
              <w:rPr>
                <w:rFonts w:ascii="Arial" w:eastAsia="Calibri" w:hAnsi="Arial" w:cs="Times New Roman"/>
                <w:sz w:val="18"/>
              </w:rPr>
              <w:t xml:space="preserve"> директоров) составил мнение о независимости каждого кандидата в </w:t>
            </w:r>
            <w:r>
              <w:rPr>
                <w:rFonts w:ascii="Arial" w:eastAsia="Times New Roman" w:hAnsi="Arial" w:cs="Arial"/>
                <w:sz w:val="18"/>
                <w:szCs w:val="18"/>
              </w:rPr>
              <w:t>Совет</w:t>
            </w:r>
            <w:r>
              <w:rPr>
                <w:rFonts w:ascii="Arial" w:eastAsia="Calibri" w:hAnsi="Arial" w:cs="Times New Roman"/>
                <w:sz w:val="18"/>
              </w:rPr>
              <w:t xml:space="preserve"> директоров и представил акционерам соответствующее заключение.</w:t>
            </w:r>
          </w:p>
          <w:p w:rsidR="00C81778" w:rsidRDefault="00AB0D4E">
            <w:pPr>
              <w:widowControl w:val="0"/>
              <w:numPr>
                <w:ilvl w:val="0"/>
                <w:numId w:val="16"/>
              </w:numPr>
              <w:tabs>
                <w:tab w:val="left" w:pos="285"/>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За отчетный период </w:t>
            </w:r>
            <w:r>
              <w:rPr>
                <w:rFonts w:ascii="Arial" w:eastAsia="Times New Roman" w:hAnsi="Arial" w:cs="Arial"/>
                <w:sz w:val="18"/>
                <w:szCs w:val="18"/>
              </w:rPr>
              <w:t>Совет</w:t>
            </w:r>
            <w:r>
              <w:rPr>
                <w:rFonts w:ascii="Arial" w:eastAsia="Calibri" w:hAnsi="Arial" w:cs="Times New Roman"/>
                <w:sz w:val="18"/>
              </w:rPr>
              <w:t xml:space="preserve"> директоров (или комитет по номинациям </w:t>
            </w:r>
            <w:r>
              <w:rPr>
                <w:rFonts w:ascii="Arial" w:eastAsia="Times New Roman" w:hAnsi="Arial" w:cs="Arial"/>
                <w:sz w:val="18"/>
                <w:szCs w:val="18"/>
              </w:rPr>
              <w:t>Совета</w:t>
            </w:r>
            <w:r>
              <w:rPr>
                <w:rFonts w:ascii="Arial" w:eastAsia="Calibri" w:hAnsi="Arial" w:cs="Times New Roman"/>
                <w:sz w:val="18"/>
              </w:rPr>
              <w:t xml:space="preserve"> директоров) по крайней мере один раз рассмотрел вопрос о независимости действующих членов Совета директоров (после их избрания).</w:t>
            </w:r>
          </w:p>
          <w:p w:rsidR="00C81778" w:rsidRDefault="00AB0D4E">
            <w:pPr>
              <w:widowControl w:val="0"/>
              <w:numPr>
                <w:ilvl w:val="0"/>
                <w:numId w:val="16"/>
              </w:numPr>
              <w:tabs>
                <w:tab w:val="left" w:pos="285"/>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В Обществе разработаны процедуры, определяющие необходимые действия </w:t>
            </w:r>
            <w:r>
              <w:rPr>
                <w:rFonts w:ascii="Arial" w:eastAsia="Calibri" w:hAnsi="Arial" w:cs="Times New Roman"/>
                <w:sz w:val="18"/>
              </w:rPr>
              <w:lastRenderedPageBreak/>
              <w:t xml:space="preserve">члена </w:t>
            </w:r>
            <w:r>
              <w:rPr>
                <w:rFonts w:ascii="Arial" w:eastAsia="Times New Roman" w:hAnsi="Arial" w:cs="Arial"/>
                <w:sz w:val="18"/>
                <w:szCs w:val="18"/>
              </w:rPr>
              <w:t>Совета</w:t>
            </w:r>
            <w:r>
              <w:rPr>
                <w:rFonts w:ascii="Arial" w:eastAsia="Calibri" w:hAnsi="Arial" w:cs="Times New Roman"/>
                <w:sz w:val="18"/>
              </w:rPr>
              <w:t xml:space="preserve"> директоров в том случае, если он перестает быть независимым, включая обязательства по своевременному информированию об этом </w:t>
            </w:r>
            <w:r>
              <w:rPr>
                <w:rFonts w:ascii="Arial" w:eastAsia="Times New Roman" w:hAnsi="Arial" w:cs="Arial"/>
                <w:sz w:val="18"/>
                <w:szCs w:val="18"/>
              </w:rPr>
              <w:t>Совета</w:t>
            </w:r>
            <w:r>
              <w:rPr>
                <w:rFonts w:ascii="Arial" w:eastAsia="Calibri" w:hAnsi="Arial" w:cs="Times New Roman"/>
                <w:sz w:val="18"/>
              </w:rPr>
              <w:t xml:space="preserve"> директоров</w:t>
            </w:r>
            <w:r>
              <w:rPr>
                <w:rFonts w:ascii="Arial" w:eastAsia="Times New Roman" w:hAnsi="Arial" w:cs="Arial"/>
                <w:sz w:val="18"/>
                <w:szCs w:val="18"/>
              </w:rPr>
              <w:t>.</w:t>
            </w:r>
          </w:p>
        </w:tc>
        <w:tc>
          <w:tcPr>
            <w:tcW w:w="2692" w:type="dxa"/>
            <w:shd w:val="clear" w:color="auto" w:fill="DBE5F1"/>
          </w:tcPr>
          <w:p w:rsidR="00C81778" w:rsidRDefault="00AB0D4E">
            <w:pPr>
              <w:widowControl w:val="0"/>
              <w:spacing w:after="0" w:line="240" w:lineRule="auto"/>
              <w:contextualSpacing/>
              <w:rPr>
                <w:rFonts w:ascii="Arial" w:eastAsia="Times New Roman" w:hAnsi="Arial" w:cs="Arial"/>
                <w:sz w:val="18"/>
                <w:szCs w:val="18"/>
              </w:rPr>
            </w:pPr>
            <w:r>
              <w:rPr>
                <w:rFonts w:ascii="Arial" w:eastAsia="Times New Roman" w:hAnsi="Arial" w:cs="Arial"/>
                <w:sz w:val="18"/>
                <w:szCs w:val="18"/>
              </w:rPr>
              <w:lastRenderedPageBreak/>
              <w:t>Частично соблюдается.</w:t>
            </w:r>
          </w:p>
          <w:p w:rsidR="00C81778" w:rsidRDefault="00C81778">
            <w:pPr>
              <w:widowControl w:val="0"/>
              <w:spacing w:after="0" w:line="240" w:lineRule="auto"/>
              <w:ind w:left="176"/>
              <w:contextualSpacing/>
              <w:rPr>
                <w:rFonts w:ascii="Arial" w:eastAsia="Calibri" w:hAnsi="Arial" w:cs="Times New Roman"/>
                <w:sz w:val="18"/>
              </w:rPr>
            </w:pPr>
          </w:p>
        </w:tc>
        <w:tc>
          <w:tcPr>
            <w:tcW w:w="3966" w:type="dxa"/>
            <w:shd w:val="clear" w:color="auto" w:fill="DBE5F1"/>
          </w:tcPr>
          <w:p w:rsidR="00C81778" w:rsidRDefault="00AB0D4E">
            <w:pPr>
              <w:spacing w:after="0" w:line="276" w:lineRule="auto"/>
              <w:jc w:val="both"/>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C81778">
            <w:pPr>
              <w:spacing w:after="0" w:line="276" w:lineRule="auto"/>
              <w:jc w:val="both"/>
              <w:rPr>
                <w:rFonts w:ascii="Arial" w:eastAsia="Calibri" w:hAnsi="Arial" w:cs="Arial"/>
                <w:sz w:val="18"/>
                <w:szCs w:val="18"/>
                <w:u w:val="single"/>
              </w:rPr>
            </w:pPr>
          </w:p>
          <w:p w:rsidR="00C81778" w:rsidRDefault="00AB0D4E">
            <w:pPr>
              <w:spacing w:after="0" w:line="276" w:lineRule="auto"/>
              <w:jc w:val="both"/>
              <w:rPr>
                <w:rFonts w:ascii="Arial" w:eastAsia="Calibri" w:hAnsi="Arial" w:cs="Arial"/>
                <w:sz w:val="18"/>
                <w:szCs w:val="18"/>
                <w:u w:val="single"/>
              </w:rPr>
            </w:pPr>
            <w:r>
              <w:rPr>
                <w:rFonts w:ascii="Arial" w:eastAsia="Calibri" w:hAnsi="Arial" w:cs="Arial"/>
                <w:sz w:val="18"/>
                <w:szCs w:val="18"/>
                <w:u w:val="single"/>
              </w:rPr>
              <w:t>Критерий 2: не соблюдается.</w:t>
            </w:r>
          </w:p>
          <w:p w:rsidR="00C81778" w:rsidRDefault="00AB0D4E">
            <w:pPr>
              <w:widowControl w:val="0"/>
              <w:tabs>
                <w:tab w:val="left" w:pos="285"/>
              </w:tabs>
              <w:spacing w:after="0" w:line="240" w:lineRule="auto"/>
              <w:contextualSpacing/>
              <w:jc w:val="both"/>
              <w:rPr>
                <w:rFonts w:ascii="Arial" w:eastAsia="Calibri" w:hAnsi="Arial" w:cs="Times New Roman"/>
                <w:sz w:val="18"/>
              </w:rPr>
            </w:pPr>
            <w:r>
              <w:rPr>
                <w:rFonts w:ascii="Arial" w:eastAsia="Calibri" w:hAnsi="Arial" w:cs="Times New Roman"/>
                <w:sz w:val="18"/>
              </w:rPr>
              <w:t>Критерий 2: не соблюдается.</w:t>
            </w:r>
          </w:p>
          <w:p w:rsidR="00C81778" w:rsidRDefault="00AB0D4E">
            <w:pPr>
              <w:widowControl w:val="0"/>
              <w:tabs>
                <w:tab w:val="left" w:pos="285"/>
              </w:tabs>
              <w:spacing w:after="0" w:line="240" w:lineRule="auto"/>
              <w:contextualSpacing/>
              <w:jc w:val="both"/>
              <w:rPr>
                <w:rFonts w:ascii="Arial" w:eastAsia="Calibri" w:hAnsi="Arial" w:cs="Times New Roman"/>
                <w:sz w:val="18"/>
              </w:rPr>
            </w:pPr>
            <w:r>
              <w:rPr>
                <w:rFonts w:ascii="Arial" w:eastAsia="Calibri" w:hAnsi="Arial" w:cs="Times New Roman"/>
                <w:sz w:val="18"/>
              </w:rPr>
              <w:t xml:space="preserve">За отчетный период Совет директоров (или Комитет по кадрам и вознаграждениям Совета директоров) не рассматривал вопрос о независимости действующих членов Совета директоров (после их избрания), поскольку Комитет по кадрам и вознаграждениям ежегодно проводит оценку всех кандидатов в Совет директоров Общества на соответствие критериям </w:t>
            </w:r>
            <w:r>
              <w:rPr>
                <w:rFonts w:ascii="Arial" w:eastAsia="Calibri" w:hAnsi="Arial" w:cs="Times New Roman"/>
                <w:sz w:val="18"/>
              </w:rPr>
              <w:lastRenderedPageBreak/>
              <w:t>независимости перед проведением годового Общего собрания акционеров ПАО «ОГК-2» и дает соответствующие рекомендации. Кроме того, в качестве альтернативных мер, Общество регулярно анализирует информацию, предоставляемую членами Совета директоров, в том числе независимыми, в целях соблюдения требований по раскрытию информации, а также в соответствии с п.5.9 ст.5 Положения о Совете директоров Общества, и, если после избрания независимого члена Совета директоров, такой член Совета директоров перестает быть независимым по причине любых изменений или возникновения новых обстоятельств, то он должен уведомить об этом Совет директоров путем подачи письменного заявления, адресованного Председателю Совета директоров, представив подробный отчет обо всех таких изменениях или новых обстоятельствах. По получении такого уведомления, либо если Совету директоров иным образом становится известно о таких изменениях или новых обстоятельствах, информация об этом должна быть раскрыта, а Совет директоров, в случае необходимости, может созвать внеочередное Общее собрание акционеров для избрания нового состава Совета директоров. В отчетном периоде указанных случаев не было.</w:t>
            </w:r>
          </w:p>
          <w:p w:rsidR="00C81778" w:rsidRDefault="00AB0D4E">
            <w:pPr>
              <w:widowControl w:val="0"/>
              <w:tabs>
                <w:tab w:val="left" w:pos="285"/>
              </w:tabs>
              <w:spacing w:after="0" w:line="240" w:lineRule="auto"/>
              <w:contextualSpacing/>
              <w:jc w:val="both"/>
              <w:rPr>
                <w:rFonts w:ascii="Arial" w:eastAsia="Calibri" w:hAnsi="Arial" w:cs="Times New Roman"/>
                <w:sz w:val="18"/>
              </w:rPr>
            </w:pPr>
            <w:r>
              <w:rPr>
                <w:rFonts w:ascii="Arial" w:eastAsia="Calibri" w:hAnsi="Arial" w:cs="Times New Roman"/>
                <w:sz w:val="18"/>
              </w:rPr>
              <w:t>Общество считает предпринимаемые меры и сложившуюся практику, достаточными для осуществления текущего контроля соответствия независимых директоров всем критериям независимости.</w:t>
            </w:r>
          </w:p>
          <w:p w:rsidR="00C81778" w:rsidRDefault="00AB0D4E">
            <w:pPr>
              <w:widowControl w:val="0"/>
              <w:tabs>
                <w:tab w:val="left" w:pos="285"/>
              </w:tabs>
              <w:spacing w:after="0" w:line="240" w:lineRule="auto"/>
              <w:contextualSpacing/>
              <w:jc w:val="both"/>
              <w:rPr>
                <w:rFonts w:ascii="Arial" w:eastAsia="Calibri" w:hAnsi="Arial" w:cs="Times New Roman"/>
                <w:sz w:val="18"/>
              </w:rPr>
            </w:pPr>
            <w:r>
              <w:rPr>
                <w:rFonts w:ascii="Arial" w:eastAsia="Calibri" w:hAnsi="Arial" w:cs="Times New Roman"/>
                <w:sz w:val="18"/>
              </w:rPr>
              <w:t>В то же время, Общество, стремясь к совершенствованию практики корпоративного управления, в 2024 году планирует рассмотреть возможность включения в план работы Комитета по кадрам и вознаграждениям рассмотрение независимости действующих членов Совета директоров.</w:t>
            </w:r>
          </w:p>
          <w:p w:rsidR="00C81778" w:rsidRDefault="00C81778">
            <w:pPr>
              <w:spacing w:after="0" w:line="276" w:lineRule="auto"/>
              <w:jc w:val="both"/>
              <w:rPr>
                <w:rFonts w:ascii="Arial" w:eastAsia="Calibri" w:hAnsi="Arial" w:cs="Arial"/>
                <w:sz w:val="18"/>
                <w:szCs w:val="18"/>
                <w:u w:val="single"/>
              </w:rPr>
            </w:pPr>
          </w:p>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Критерий 3: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2.4.3</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Независимые директора составляют не менее одной трети избранного состава </w:t>
            </w:r>
            <w:r>
              <w:rPr>
                <w:rFonts w:ascii="Arial" w:eastAsia="Times New Roman" w:hAnsi="Arial" w:cs="Arial"/>
                <w:sz w:val="18"/>
                <w:szCs w:val="18"/>
              </w:rPr>
              <w:t>Совета</w:t>
            </w:r>
            <w:r>
              <w:rPr>
                <w:rFonts w:ascii="Arial" w:eastAsia="Calibri" w:hAnsi="Arial" w:cs="Times New Roman"/>
                <w:sz w:val="18"/>
              </w:rPr>
              <w:t xml:space="preserve"> директоров</w:t>
            </w:r>
            <w:r>
              <w:rPr>
                <w:rFonts w:ascii="Arial" w:eastAsia="Times New Roman" w:hAnsi="Arial" w:cs="Arial"/>
                <w:sz w:val="18"/>
                <w:szCs w:val="18"/>
              </w:rPr>
              <w:t>.</w:t>
            </w:r>
          </w:p>
        </w:tc>
        <w:tc>
          <w:tcPr>
            <w:tcW w:w="3827" w:type="dxa"/>
          </w:tcPr>
          <w:p w:rsidR="00C81778" w:rsidRDefault="00AB0D4E" w:rsidP="00AB0D4E">
            <w:pPr>
              <w:widowControl w:val="0"/>
              <w:numPr>
                <w:ilvl w:val="0"/>
                <w:numId w:val="52"/>
              </w:numPr>
              <w:tabs>
                <w:tab w:val="left" w:pos="22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 xml:space="preserve">Независимые директора составляют не менее одной трети состава </w:t>
            </w:r>
            <w:r>
              <w:rPr>
                <w:rFonts w:ascii="Arial" w:eastAsia="Times New Roman" w:hAnsi="Arial" w:cs="Arial"/>
                <w:sz w:val="18"/>
                <w:szCs w:val="18"/>
              </w:rPr>
              <w:t>Совета</w:t>
            </w:r>
            <w:r>
              <w:rPr>
                <w:rFonts w:ascii="Arial" w:eastAsia="Calibri" w:hAnsi="Arial" w:cs="Times New Roman"/>
                <w:sz w:val="18"/>
              </w:rPr>
              <w:t xml:space="preserve"> директоров</w:t>
            </w:r>
            <w:r>
              <w:rPr>
                <w:rFonts w:ascii="Arial" w:eastAsia="Times New Roman"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Частично соблюдается.</w:t>
            </w:r>
          </w:p>
        </w:tc>
        <w:tc>
          <w:tcPr>
            <w:tcW w:w="3966" w:type="dxa"/>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частично соблюдается.</w:t>
            </w:r>
          </w:p>
          <w:p w:rsidR="00C81778" w:rsidRDefault="00AB0D4E">
            <w:pPr>
              <w:widowControl w:val="0"/>
              <w:spacing w:after="200" w:line="276" w:lineRule="auto"/>
              <w:contextualSpacing/>
              <w:jc w:val="both"/>
              <w:rPr>
                <w:rFonts w:ascii="Arial" w:eastAsia="Calibri" w:hAnsi="Arial" w:cs="Times New Roman"/>
                <w:sz w:val="18"/>
              </w:rPr>
            </w:pPr>
            <w:r>
              <w:rPr>
                <w:rFonts w:ascii="Arial" w:eastAsia="Times New Roman" w:hAnsi="Arial" w:cs="Arial"/>
                <w:sz w:val="18"/>
                <w:szCs w:val="18"/>
              </w:rPr>
              <w:t>В 2024 г. Общество продолжит проведение работы с акционерами, имеющими право выдвигать кандидатов в Совет директоров, по вопросу увеличения количества независимых директоров в составе Совета директоров ПАО «ОГК-2».</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2.4.4</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Независимые директора играют ключевую роль в предотвращении внутренних конфликтов в </w:t>
            </w:r>
            <w:r>
              <w:rPr>
                <w:rFonts w:ascii="Arial" w:eastAsia="Times New Roman" w:hAnsi="Arial" w:cs="Arial"/>
                <w:sz w:val="18"/>
                <w:szCs w:val="18"/>
              </w:rPr>
              <w:t>Обществе</w:t>
            </w:r>
            <w:r>
              <w:rPr>
                <w:rFonts w:ascii="Arial" w:eastAsia="Calibri" w:hAnsi="Arial" w:cs="Times New Roman"/>
                <w:sz w:val="18"/>
              </w:rPr>
              <w:t xml:space="preserve"> и совершении </w:t>
            </w:r>
            <w:r>
              <w:rPr>
                <w:rFonts w:ascii="Arial" w:eastAsia="Times New Roman" w:hAnsi="Arial" w:cs="Arial"/>
                <w:sz w:val="18"/>
                <w:szCs w:val="18"/>
              </w:rPr>
              <w:t>Обществом</w:t>
            </w:r>
            <w:r>
              <w:rPr>
                <w:rFonts w:ascii="Arial" w:eastAsia="Calibri" w:hAnsi="Arial" w:cs="Times New Roman"/>
                <w:sz w:val="18"/>
              </w:rPr>
              <w:t xml:space="preserve"> существенных корпоративных действий</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53"/>
              </w:numPr>
              <w:tabs>
                <w:tab w:val="left" w:pos="30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Независимые директора (у которых отсутствовал конфликт интересов) предварительно оценивали существенные корпоративные действия, связанные с возможным конфликтом интересов, а результаты такой оценки предоставлялись Совету директоров</w:t>
            </w:r>
            <w:r>
              <w:rPr>
                <w:rFonts w:ascii="Arial" w:eastAsia="Times New Roman" w:hAnsi="Arial" w:cs="Arial"/>
                <w:sz w:val="18"/>
                <w:szCs w:val="18"/>
              </w:rPr>
              <w:t>.</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Не соблюдается.</w:t>
            </w: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не соблюдается.</w:t>
            </w:r>
          </w:p>
          <w:p w:rsidR="00C81778" w:rsidRDefault="00AB0D4E">
            <w:pPr>
              <w:widowControl w:val="0"/>
              <w:spacing w:after="200" w:line="276" w:lineRule="auto"/>
              <w:jc w:val="both"/>
              <w:rPr>
                <w:rFonts w:ascii="Arial" w:eastAsia="Times New Roman" w:hAnsi="Arial" w:cs="Arial"/>
                <w:sz w:val="18"/>
                <w:szCs w:val="18"/>
              </w:rPr>
            </w:pPr>
            <w:r>
              <w:rPr>
                <w:rFonts w:ascii="Arial" w:eastAsia="Times New Roman" w:hAnsi="Arial" w:cs="Arial"/>
                <w:sz w:val="18"/>
                <w:szCs w:val="18"/>
              </w:rPr>
              <w:t>Независимые директора (у которых отсутствовал конфликт интересов) в отчетном периоде предварительно не оценивали существенные корпоративные действия, связанные с возможным конфликтом интересов.</w:t>
            </w:r>
          </w:p>
          <w:p w:rsidR="00C81778" w:rsidRDefault="00AB0D4E">
            <w:pPr>
              <w:widowControl w:val="0"/>
              <w:spacing w:after="200" w:line="276" w:lineRule="auto"/>
              <w:jc w:val="both"/>
              <w:rPr>
                <w:rFonts w:ascii="Arial" w:eastAsia="Times New Roman" w:hAnsi="Arial" w:cs="Arial"/>
                <w:sz w:val="18"/>
                <w:szCs w:val="18"/>
              </w:rPr>
            </w:pPr>
            <w:r>
              <w:rPr>
                <w:rFonts w:ascii="Arial" w:eastAsia="Times New Roman" w:hAnsi="Arial" w:cs="Arial"/>
                <w:sz w:val="18"/>
                <w:szCs w:val="18"/>
              </w:rPr>
              <w:t>Процедура предварительной оценки существенных корпоративных действий, связанных с возможным конфликтом интересов, независимыми директорами внутренними документами Общества не установлена. Все члены Совета директоров выражают свое мнение по рассматриваемым вопросам путем голосования. Уставом и внутренними документами Общества не определено понятие существенных корпоративных действий. Однако, Уставом Общества вопросы, которые ККУ определяет, как существенные корпоративные действия, отнесены к компетенции Общего собрания акционеров или Совета директоров Общества.</w:t>
            </w:r>
          </w:p>
          <w:p w:rsidR="00C81778" w:rsidRDefault="00AB0D4E">
            <w:pPr>
              <w:widowControl w:val="0"/>
              <w:spacing w:after="200" w:line="276" w:lineRule="auto"/>
              <w:jc w:val="both"/>
              <w:rPr>
                <w:rFonts w:ascii="Arial" w:eastAsia="Times New Roman" w:hAnsi="Arial" w:cs="Arial"/>
                <w:sz w:val="18"/>
                <w:szCs w:val="18"/>
              </w:rPr>
            </w:pPr>
            <w:r>
              <w:rPr>
                <w:rFonts w:ascii="Arial" w:eastAsia="Times New Roman" w:hAnsi="Arial" w:cs="Arial"/>
                <w:sz w:val="18"/>
                <w:szCs w:val="18"/>
              </w:rPr>
              <w:t xml:space="preserve">В качестве альтернативных мер, в компетенцию Комитета Совета директоров по стратегии, инвестициям и устойчивому развитию и Комитета Совета директоров по аудиту относится предварительное рассмотрение, в том числе, вопросов, относящихся к существенным </w:t>
            </w:r>
            <w:r>
              <w:rPr>
                <w:rFonts w:ascii="Arial" w:eastAsia="Times New Roman" w:hAnsi="Arial" w:cs="Arial"/>
                <w:sz w:val="18"/>
                <w:szCs w:val="18"/>
              </w:rPr>
              <w:lastRenderedPageBreak/>
              <w:t>корпоративным действиям. В состав Комитета Совета директоров по аудиту входит независимый директор, который имеет возможность предварительно оценивать существенные корпоративные действия и представлять результаты такой оценки Совету директоров в рамках работы соответствующего комитета. Также у каждого члена Совета директоров есть право направить письменное мнение по любому из вопросов, включенных в повестку дня заседания Совета директоров, которое является неотъемлемой частью протокола заседания Совета директоров. В целях принятия объективных решений менеджментом Общества формируются материалы для членов Совета директоров по каждому рассматриваемому вопросу, в том числе включающие информацию о лицах, заинтересованных в совершении сделок, и основаниях их заинтересованности.</w:t>
            </w:r>
          </w:p>
          <w:p w:rsidR="00C81778" w:rsidRDefault="00AB0D4E">
            <w:pPr>
              <w:widowControl w:val="0"/>
              <w:spacing w:after="200" w:line="276" w:lineRule="auto"/>
              <w:contextualSpacing/>
              <w:jc w:val="both"/>
              <w:rPr>
                <w:rFonts w:ascii="Arial" w:eastAsia="Calibri" w:hAnsi="Arial" w:cs="Times New Roman"/>
                <w:sz w:val="18"/>
              </w:rPr>
            </w:pPr>
            <w:bookmarkStart w:id="41" w:name="_Hlk161960984"/>
            <w:r>
              <w:rPr>
                <w:rFonts w:ascii="Arial" w:eastAsia="Times New Roman" w:hAnsi="Arial" w:cs="Arial"/>
                <w:sz w:val="18"/>
                <w:szCs w:val="18"/>
              </w:rPr>
              <w:t>Положением о Совете директоров Общества установлена обязанность членов Совета директоров принимать обоснованные решения, для чего изучать всю необходимую информацию (материалы); при принятии решений оценивать риски и неблагоприятные последствия. Учитывая количество независимых директоров в составе Совета директоров, Общество считает сложившуюся практику оптимальной в среднесрочной перспективе.</w:t>
            </w:r>
            <w:bookmarkEnd w:id="41"/>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2.5</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Председатель </w:t>
            </w:r>
            <w:r>
              <w:rPr>
                <w:rFonts w:ascii="Arial" w:eastAsia="Calibri" w:hAnsi="Arial" w:cs="Arial"/>
                <w:b/>
                <w:sz w:val="18"/>
                <w:szCs w:val="18"/>
              </w:rPr>
              <w:t>Совета</w:t>
            </w:r>
            <w:r>
              <w:rPr>
                <w:rFonts w:ascii="Arial" w:eastAsia="Calibri" w:hAnsi="Arial" w:cs="Times New Roman"/>
                <w:b/>
                <w:sz w:val="18"/>
              </w:rPr>
              <w:t xml:space="preserve"> директоров способствует наиболее эффективному осуществлению функций, возложенных на </w:t>
            </w:r>
            <w:r>
              <w:rPr>
                <w:rFonts w:ascii="Arial" w:eastAsia="Calibri" w:hAnsi="Arial" w:cs="Arial"/>
                <w:b/>
                <w:sz w:val="18"/>
                <w:szCs w:val="18"/>
              </w:rPr>
              <w:t>Совет</w:t>
            </w:r>
            <w:r>
              <w:rPr>
                <w:rFonts w:ascii="Arial" w:eastAsia="Calibri" w:hAnsi="Arial" w:cs="Times New Roman"/>
                <w:b/>
                <w:sz w:val="18"/>
              </w:rPr>
              <w:t xml:space="preserve"> директоров</w:t>
            </w:r>
            <w:r>
              <w:rPr>
                <w:rFonts w:ascii="Arial" w:eastAsia="Calibri" w:hAnsi="Arial" w:cs="Arial"/>
                <w:b/>
                <w:sz w:val="18"/>
                <w:szCs w:val="18"/>
              </w:rPr>
              <w:t>.</w:t>
            </w:r>
          </w:p>
        </w:tc>
      </w:tr>
      <w:tr w:rsidR="00C81778">
        <w:trPr>
          <w:trHeight w:val="416"/>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2.5.1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Председателем </w:t>
            </w:r>
            <w:r>
              <w:rPr>
                <w:rFonts w:ascii="Arial" w:eastAsia="Times New Roman" w:hAnsi="Arial" w:cs="Arial"/>
                <w:sz w:val="18"/>
                <w:szCs w:val="18"/>
              </w:rPr>
              <w:t>Совета</w:t>
            </w:r>
            <w:r>
              <w:rPr>
                <w:rFonts w:ascii="Arial" w:eastAsia="Calibri" w:hAnsi="Arial" w:cs="Times New Roman"/>
                <w:sz w:val="18"/>
              </w:rPr>
              <w:t xml:space="preserve"> директоров избран независимый директор</w:t>
            </w:r>
            <w:r>
              <w:rPr>
                <w:rFonts w:ascii="Arial" w:eastAsia="Times New Roman" w:hAnsi="Arial" w:cs="Arial"/>
                <w:sz w:val="18"/>
                <w:szCs w:val="18"/>
              </w:rPr>
              <w:t>,</w:t>
            </w:r>
            <w:r>
              <w:rPr>
                <w:rFonts w:ascii="Arial" w:eastAsia="Calibri" w:hAnsi="Arial" w:cs="Times New Roman"/>
                <w:sz w:val="18"/>
              </w:rPr>
              <w:t xml:space="preserve"> либо из числа избранных независимых директоров определен старший </w:t>
            </w:r>
            <w:r>
              <w:rPr>
                <w:rFonts w:ascii="Arial" w:eastAsia="Calibri" w:hAnsi="Arial" w:cs="Times New Roman"/>
                <w:sz w:val="18"/>
              </w:rPr>
              <w:lastRenderedPageBreak/>
              <w:t xml:space="preserve">независимый директор, координирующий работу независимых директоров и осуществляющий взаимодействие с председателем </w:t>
            </w:r>
            <w:r>
              <w:rPr>
                <w:rFonts w:ascii="Arial" w:eastAsia="Times New Roman" w:hAnsi="Arial" w:cs="Arial"/>
                <w:sz w:val="18"/>
                <w:szCs w:val="18"/>
              </w:rPr>
              <w:t>Совета</w:t>
            </w:r>
            <w:r>
              <w:rPr>
                <w:rFonts w:ascii="Arial" w:eastAsia="Calibri" w:hAnsi="Arial" w:cs="Times New Roman"/>
                <w:sz w:val="18"/>
              </w:rPr>
              <w:t xml:space="preserve"> директоров</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54"/>
              </w:numPr>
              <w:tabs>
                <w:tab w:val="left" w:pos="25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lastRenderedPageBreak/>
              <w:t xml:space="preserve">Председатель </w:t>
            </w:r>
            <w:r>
              <w:rPr>
                <w:rFonts w:ascii="Arial" w:eastAsia="Times New Roman" w:hAnsi="Arial" w:cs="Arial"/>
                <w:sz w:val="18"/>
                <w:szCs w:val="18"/>
              </w:rPr>
              <w:t>Совета</w:t>
            </w:r>
            <w:r>
              <w:rPr>
                <w:rFonts w:ascii="Arial" w:eastAsia="Calibri" w:hAnsi="Arial" w:cs="Times New Roman"/>
                <w:sz w:val="18"/>
              </w:rPr>
              <w:t xml:space="preserve"> директоров является независимым директором</w:t>
            </w:r>
            <w:r>
              <w:rPr>
                <w:rFonts w:ascii="Arial" w:eastAsia="Times New Roman" w:hAnsi="Arial" w:cs="Arial"/>
                <w:sz w:val="18"/>
                <w:szCs w:val="18"/>
              </w:rPr>
              <w:t>,</w:t>
            </w:r>
            <w:r>
              <w:rPr>
                <w:rFonts w:ascii="Arial" w:eastAsia="Calibri" w:hAnsi="Arial" w:cs="Times New Roman"/>
                <w:sz w:val="18"/>
              </w:rPr>
              <w:t xml:space="preserve"> или же среди независимых директоров определен старший независимый директор</w:t>
            </w:r>
            <w:r>
              <w:rPr>
                <w:rFonts w:ascii="Arial" w:eastAsia="Times New Roman" w:hAnsi="Arial" w:cs="Arial"/>
                <w:sz w:val="18"/>
                <w:szCs w:val="18"/>
              </w:rPr>
              <w:t>.</w:t>
            </w:r>
          </w:p>
          <w:p w:rsidR="00C81778" w:rsidRDefault="00AB0D4E" w:rsidP="00AB0D4E">
            <w:pPr>
              <w:widowControl w:val="0"/>
              <w:numPr>
                <w:ilvl w:val="0"/>
                <w:numId w:val="55"/>
              </w:numPr>
              <w:tabs>
                <w:tab w:val="left" w:pos="25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lastRenderedPageBreak/>
              <w:t xml:space="preserve">Роль, права и обязанности председателя </w:t>
            </w:r>
            <w:r>
              <w:rPr>
                <w:rFonts w:ascii="Arial" w:eastAsia="Times New Roman" w:hAnsi="Arial" w:cs="Arial"/>
                <w:sz w:val="18"/>
                <w:szCs w:val="18"/>
              </w:rPr>
              <w:t>Совета</w:t>
            </w:r>
            <w:r>
              <w:rPr>
                <w:rFonts w:ascii="Arial" w:eastAsia="Calibri" w:hAnsi="Arial" w:cs="Times New Roman"/>
                <w:sz w:val="18"/>
              </w:rPr>
              <w:t xml:space="preserve"> директоров (и, если применимо, старшего независимого директора) должным образом определены во внутренних документах Общества.</w:t>
            </w:r>
          </w:p>
        </w:tc>
        <w:tc>
          <w:tcPr>
            <w:tcW w:w="2692" w:type="dxa"/>
            <w:shd w:val="clear" w:color="auto" w:fill="DBE5F1"/>
          </w:tcPr>
          <w:p w:rsidR="00C81778" w:rsidRDefault="00AB0D4E">
            <w:pPr>
              <w:widowControl w:val="0"/>
              <w:tabs>
                <w:tab w:val="left" w:pos="176"/>
              </w:tabs>
              <w:spacing w:after="0" w:line="240" w:lineRule="auto"/>
              <w:contextualSpacing/>
              <w:rPr>
                <w:rFonts w:ascii="Arial" w:eastAsia="Calibri" w:hAnsi="Arial" w:cs="Times New Roman"/>
                <w:sz w:val="18"/>
              </w:rPr>
            </w:pPr>
            <w:r>
              <w:rPr>
                <w:rFonts w:ascii="Arial" w:eastAsia="Calibri" w:hAnsi="Arial" w:cs="Times New Roman"/>
                <w:sz w:val="18"/>
              </w:rPr>
              <w:lastRenderedPageBreak/>
              <w:t>Частично соблюдается</w:t>
            </w:r>
            <w:r>
              <w:rPr>
                <w:rFonts w:ascii="Arial" w:eastAsia="Times New Roman" w:hAnsi="Arial" w:cs="Arial"/>
                <w:sz w:val="18"/>
                <w:szCs w:val="18"/>
              </w:rPr>
              <w:t>.</w:t>
            </w:r>
          </w:p>
          <w:p w:rsidR="00C81778" w:rsidRDefault="00C81778">
            <w:pPr>
              <w:widowControl w:val="0"/>
              <w:tabs>
                <w:tab w:val="left" w:pos="176"/>
              </w:tabs>
              <w:spacing w:after="0" w:line="240" w:lineRule="auto"/>
              <w:ind w:left="-48" w:right="317"/>
              <w:contextualSpacing/>
              <w:rPr>
                <w:rFonts w:ascii="Arial" w:eastAsia="Calibri" w:hAnsi="Arial" w:cs="Times New Roman"/>
                <w:sz w:val="18"/>
              </w:rPr>
            </w:pP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не соблюдается.</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 xml:space="preserve">Председатель Совета директоров не является независимым директором и среди независимых директоров не определен </w:t>
            </w:r>
            <w:r>
              <w:rPr>
                <w:rFonts w:ascii="Arial" w:eastAsia="Times New Roman" w:hAnsi="Arial" w:cs="Arial"/>
                <w:sz w:val="18"/>
                <w:szCs w:val="18"/>
              </w:rPr>
              <w:lastRenderedPageBreak/>
              <w:t xml:space="preserve">старший независимый директор. В соответствии со сложившейся в Обществе корпоративной практикой, члены Совета директоров избирают Председателя из их числа большинством голосов от общего числа членов Совета директоров Общества по принципу обладания необходимым профессионализмом, опытом и самостоятельностью для формирования собственной позиции. Действующий Председатель Совета директоров Общества избран на эту должность единогласно членами Совета директоров, включая независимого директора, что характеризует его деловую репутацию, опыт и профессиональные компетенции. Учитывая сложившуюся структуру акционерного капитала и принимая во внимание количество независимых директоров в составе Совета директоров, Общество считает указанную практику оптимальной в настоящее время. Действующий Председатель, являясь представителем контролирующего акционера Общества, обеспечивает эффективную работу Совета директоров, соблюдение установленных внутренними документами Общества норм и процедур, равные возможности для обсуждения вопросов и принятия решений представителями всех акционеров и независимыми директорами в составе Совета директоров. Кроме того, в связи с тем, что ПАО «ОГК-2» входит в Группу Газпром, управление в которой осуществляется по единым корпоративным стандартам, которым соответствует и действующее Положение о Совете директоров ПАО «ОГК-2», в ближайшее время корректировка данного документа не </w:t>
            </w:r>
            <w:r>
              <w:rPr>
                <w:rFonts w:ascii="Arial" w:eastAsia="Times New Roman" w:hAnsi="Arial" w:cs="Arial"/>
                <w:sz w:val="18"/>
                <w:szCs w:val="18"/>
              </w:rPr>
              <w:lastRenderedPageBreak/>
              <w:t>планируется. Вместе с тем, стремясь к передовой практике корпоративного управления и при наличии запроса от независимых директоров или заинтересованных сторон, Общество готово продолжить в 2024 г. взаимодействие с основными акционерами в части внесения в Положение о Совете директоров, корректировок, предусматривающих возможность определения старшего независимого директора.</w:t>
            </w:r>
          </w:p>
          <w:p w:rsidR="00C81778" w:rsidRDefault="00C81778">
            <w:pPr>
              <w:spacing w:after="0" w:line="276" w:lineRule="auto"/>
              <w:jc w:val="both"/>
              <w:rPr>
                <w:rFonts w:ascii="Arial" w:eastAsia="Calibri" w:hAnsi="Arial" w:cs="Times New Roman"/>
                <w:sz w:val="18"/>
                <w:u w:val="single"/>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соблюдается.</w:t>
            </w:r>
          </w:p>
          <w:p w:rsidR="00C81778" w:rsidRDefault="00C81778">
            <w:pPr>
              <w:widowControl w:val="0"/>
              <w:spacing w:after="200" w:line="276" w:lineRule="auto"/>
              <w:contextualSpacing/>
              <w:jc w:val="both"/>
              <w:rPr>
                <w:rFonts w:ascii="Arial" w:eastAsia="Calibri" w:hAnsi="Arial" w:cs="Times New Roman"/>
                <w:sz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2.5.2</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Председатель </w:t>
            </w:r>
            <w:r>
              <w:rPr>
                <w:rFonts w:ascii="Arial" w:eastAsia="Times New Roman" w:hAnsi="Arial" w:cs="Arial"/>
                <w:sz w:val="18"/>
                <w:szCs w:val="18"/>
              </w:rPr>
              <w:t>Совета</w:t>
            </w:r>
            <w:r>
              <w:rPr>
                <w:rFonts w:ascii="Arial" w:eastAsia="Calibri" w:hAnsi="Arial" w:cs="Times New Roman"/>
                <w:sz w:val="18"/>
              </w:rPr>
              <w:t xml:space="preserve"> директоров обеспечивает конструктивную атмосферу проведения заседаний, свободное обсуждение вопросов, включенных в повестку дня заседания, контроль за исполнением решений, принятых </w:t>
            </w:r>
            <w:r>
              <w:rPr>
                <w:rFonts w:ascii="Arial" w:eastAsia="Times New Roman" w:hAnsi="Arial" w:cs="Arial"/>
                <w:sz w:val="18"/>
                <w:szCs w:val="18"/>
              </w:rPr>
              <w:t>Советом</w:t>
            </w:r>
            <w:r>
              <w:rPr>
                <w:rFonts w:ascii="Arial" w:eastAsia="Calibri" w:hAnsi="Arial" w:cs="Times New Roman"/>
                <w:sz w:val="18"/>
              </w:rPr>
              <w:t xml:space="preserve"> директоров</w:t>
            </w:r>
            <w:r>
              <w:rPr>
                <w:rFonts w:ascii="Arial" w:eastAsia="Times New Roman" w:hAnsi="Arial" w:cs="Arial"/>
                <w:sz w:val="18"/>
                <w:szCs w:val="18"/>
              </w:rPr>
              <w:t>.</w:t>
            </w:r>
          </w:p>
        </w:tc>
        <w:tc>
          <w:tcPr>
            <w:tcW w:w="3827" w:type="dxa"/>
          </w:tcPr>
          <w:p w:rsidR="00C81778" w:rsidRDefault="00AB0D4E" w:rsidP="00AB0D4E">
            <w:pPr>
              <w:widowControl w:val="0"/>
              <w:numPr>
                <w:ilvl w:val="0"/>
                <w:numId w:val="56"/>
              </w:numPr>
              <w:tabs>
                <w:tab w:val="left" w:pos="24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Эффективность работы председателя Совета директоров оценивалась в рамках процедуры оценки (самооценки) качества работы Совета директоров в отчетном периоде.</w:t>
            </w:r>
          </w:p>
        </w:tc>
        <w:tc>
          <w:tcPr>
            <w:tcW w:w="2692" w:type="dxa"/>
          </w:tcPr>
          <w:p w:rsidR="00C81778" w:rsidRDefault="00AB0D4E">
            <w:pPr>
              <w:widowControl w:val="0"/>
              <w:spacing w:after="200" w:line="276" w:lineRule="auto"/>
              <w:rPr>
                <w:rFonts w:ascii="Arial" w:eastAsia="Calibri" w:hAnsi="Arial" w:cs="Times New Roman"/>
                <w:sz w:val="18"/>
              </w:rPr>
            </w:pPr>
            <w:r>
              <w:rPr>
                <w:rFonts w:ascii="Arial" w:eastAsia="Times New Roman" w:hAnsi="Arial" w:cs="Arial"/>
                <w:sz w:val="18"/>
                <w:szCs w:val="18"/>
              </w:rPr>
              <w:t>Соблюдается.</w:t>
            </w:r>
          </w:p>
        </w:tc>
        <w:tc>
          <w:tcPr>
            <w:tcW w:w="3966" w:type="dxa"/>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соблюдается</w:t>
            </w:r>
          </w:p>
          <w:p w:rsidR="00C81778" w:rsidRDefault="00AB0D4E">
            <w:pPr>
              <w:widowControl w:val="0"/>
              <w:spacing w:after="200" w:line="276" w:lineRule="auto"/>
              <w:ind w:left="11"/>
              <w:jc w:val="both"/>
              <w:rPr>
                <w:rFonts w:ascii="Arial" w:eastAsia="Calibri" w:hAnsi="Arial" w:cs="Times New Roman"/>
                <w:spacing w:val="-4"/>
                <w:sz w:val="18"/>
              </w:rPr>
            </w:pPr>
            <w:r>
              <w:rPr>
                <w:rFonts w:ascii="Arial" w:eastAsia="Calibri" w:hAnsi="Arial" w:cs="Arial"/>
                <w:bCs/>
                <w:spacing w:val="-4"/>
                <w:sz w:val="18"/>
              </w:rPr>
              <w:t>Комментарий к соблюдению критерия 1: в настоящее время, Обществом проведена оценка деятельности Совета директоров и комитетов по итогам 2023-2024 гг., результаты которой рассмотрены Советом директоров ПАО «ОГК-2» в 2024 г. В рамках проведенной оценки, в том числе, оценивалась эффективность работы Председателя Совета директоров Общества.</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2.5.3</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Председатель </w:t>
            </w:r>
            <w:r>
              <w:rPr>
                <w:rFonts w:ascii="Arial" w:eastAsia="Times New Roman" w:hAnsi="Arial" w:cs="Arial"/>
                <w:sz w:val="18"/>
                <w:szCs w:val="18"/>
              </w:rPr>
              <w:t>Совета</w:t>
            </w:r>
            <w:r>
              <w:rPr>
                <w:rFonts w:ascii="Arial" w:eastAsia="Calibri" w:hAnsi="Arial" w:cs="Times New Roman"/>
                <w:sz w:val="18"/>
              </w:rPr>
              <w:t xml:space="preserve"> директоров принимает необходимые меры для своевременного предоставления членам </w:t>
            </w:r>
            <w:r>
              <w:rPr>
                <w:rFonts w:ascii="Arial" w:eastAsia="Times New Roman" w:hAnsi="Arial" w:cs="Arial"/>
                <w:sz w:val="18"/>
                <w:szCs w:val="18"/>
              </w:rPr>
              <w:t>Совета</w:t>
            </w:r>
            <w:r>
              <w:rPr>
                <w:rFonts w:ascii="Arial" w:eastAsia="Calibri" w:hAnsi="Arial" w:cs="Times New Roman"/>
                <w:sz w:val="18"/>
              </w:rPr>
              <w:t xml:space="preserve"> директоров информации, необходимой для принятия решений по вопросам повестки дня</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57"/>
              </w:numPr>
              <w:tabs>
                <w:tab w:val="left" w:pos="24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Обязанность председателя </w:t>
            </w:r>
            <w:r>
              <w:rPr>
                <w:rFonts w:ascii="Arial" w:eastAsia="Times New Roman" w:hAnsi="Arial" w:cs="Arial"/>
                <w:sz w:val="18"/>
                <w:szCs w:val="18"/>
              </w:rPr>
              <w:t>Совета</w:t>
            </w:r>
            <w:r>
              <w:rPr>
                <w:rFonts w:ascii="Arial" w:eastAsia="Calibri" w:hAnsi="Arial" w:cs="Times New Roman"/>
                <w:sz w:val="18"/>
              </w:rPr>
              <w:t xml:space="preserve"> директоров принимать меры по обеспечению своевременного предоставления полной и достоверной информации членам </w:t>
            </w:r>
            <w:r>
              <w:rPr>
                <w:rFonts w:ascii="Arial" w:eastAsia="Times New Roman" w:hAnsi="Arial" w:cs="Arial"/>
                <w:sz w:val="18"/>
                <w:szCs w:val="18"/>
              </w:rPr>
              <w:t>Совета</w:t>
            </w:r>
            <w:r>
              <w:rPr>
                <w:rFonts w:ascii="Arial" w:eastAsia="Calibri" w:hAnsi="Arial" w:cs="Times New Roman"/>
                <w:sz w:val="18"/>
              </w:rPr>
              <w:t xml:space="preserve"> директоров по вопросам повестки заседания </w:t>
            </w:r>
            <w:r>
              <w:rPr>
                <w:rFonts w:ascii="Arial" w:eastAsia="Times New Roman" w:hAnsi="Arial" w:cs="Arial"/>
                <w:sz w:val="18"/>
                <w:szCs w:val="18"/>
              </w:rPr>
              <w:t>Совета</w:t>
            </w:r>
            <w:r>
              <w:rPr>
                <w:rFonts w:ascii="Arial" w:eastAsia="Calibri" w:hAnsi="Arial" w:cs="Times New Roman"/>
                <w:sz w:val="18"/>
              </w:rPr>
              <w:t xml:space="preserve"> директоров закреплена во внутренних документах </w:t>
            </w:r>
            <w:r>
              <w:rPr>
                <w:rFonts w:ascii="Arial" w:eastAsia="Times New Roman" w:hAnsi="Arial" w:cs="Arial"/>
                <w:sz w:val="18"/>
                <w:szCs w:val="18"/>
              </w:rPr>
              <w:t>Общества.</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Соблюдается.</w:t>
            </w:r>
          </w:p>
        </w:tc>
        <w:tc>
          <w:tcPr>
            <w:tcW w:w="3966" w:type="dxa"/>
            <w:shd w:val="clear" w:color="auto" w:fill="DBE5F1"/>
          </w:tcPr>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2.6</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Члены </w:t>
            </w:r>
            <w:r>
              <w:rPr>
                <w:rFonts w:ascii="Arial" w:eastAsia="Calibri" w:hAnsi="Arial" w:cs="Arial"/>
                <w:b/>
                <w:sz w:val="18"/>
                <w:szCs w:val="18"/>
              </w:rPr>
              <w:t>Совета</w:t>
            </w:r>
            <w:r>
              <w:rPr>
                <w:rFonts w:ascii="Arial" w:eastAsia="Calibri" w:hAnsi="Arial" w:cs="Times New Roman"/>
                <w:b/>
                <w:sz w:val="18"/>
              </w:rPr>
              <w:t xml:space="preserve"> директоров действуют добросовестно и разумно в интересах </w:t>
            </w:r>
            <w:r>
              <w:rPr>
                <w:rFonts w:ascii="Arial" w:eastAsia="Calibri" w:hAnsi="Arial" w:cs="Arial"/>
                <w:b/>
                <w:sz w:val="18"/>
                <w:szCs w:val="18"/>
              </w:rPr>
              <w:t>Общества</w:t>
            </w:r>
            <w:r>
              <w:rPr>
                <w:rFonts w:ascii="Arial" w:eastAsia="Calibri" w:hAnsi="Arial" w:cs="Times New Roman"/>
                <w:b/>
                <w:sz w:val="18"/>
              </w:rPr>
              <w:t xml:space="preserve"> и его акционеров на основе достаточной информированности, с</w:t>
            </w:r>
            <w:r>
              <w:rPr>
                <w:rFonts w:ascii="Arial" w:eastAsia="Calibri" w:hAnsi="Arial" w:cs="Arial"/>
                <w:b/>
                <w:sz w:val="18"/>
                <w:szCs w:val="18"/>
              </w:rPr>
              <w:t> </w:t>
            </w:r>
            <w:r>
              <w:rPr>
                <w:rFonts w:ascii="Arial" w:eastAsia="Calibri" w:hAnsi="Arial" w:cs="Times New Roman"/>
                <w:b/>
                <w:sz w:val="18"/>
              </w:rPr>
              <w:t>должной степенью заботливости и осмотрительности</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2.6.1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Члены </w:t>
            </w:r>
            <w:r>
              <w:rPr>
                <w:rFonts w:ascii="Arial" w:eastAsia="Times New Roman" w:hAnsi="Arial" w:cs="Arial"/>
                <w:sz w:val="18"/>
                <w:szCs w:val="18"/>
              </w:rPr>
              <w:t>Совета</w:t>
            </w:r>
            <w:r>
              <w:rPr>
                <w:rFonts w:ascii="Arial" w:eastAsia="Calibri" w:hAnsi="Arial" w:cs="Times New Roman"/>
                <w:sz w:val="18"/>
              </w:rPr>
              <w:t xml:space="preserve"> директоров принимают решения с учетом всей имеющейся информации, в отсутствие конфликта интересов, с учетом равного отношения к акционерам </w:t>
            </w:r>
            <w:r>
              <w:rPr>
                <w:rFonts w:ascii="Arial" w:eastAsia="Times New Roman" w:hAnsi="Arial" w:cs="Arial"/>
                <w:sz w:val="18"/>
                <w:szCs w:val="18"/>
              </w:rPr>
              <w:t>Общества</w:t>
            </w:r>
            <w:r>
              <w:rPr>
                <w:rFonts w:ascii="Arial" w:eastAsia="Calibri" w:hAnsi="Arial" w:cs="Times New Roman"/>
                <w:sz w:val="18"/>
              </w:rPr>
              <w:t>, в рамках обычного предпринимательского риска</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58"/>
              </w:numPr>
              <w:tabs>
                <w:tab w:val="left" w:pos="30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Внутренними документами </w:t>
            </w:r>
            <w:r>
              <w:rPr>
                <w:rFonts w:ascii="Arial" w:eastAsia="Times New Roman" w:hAnsi="Arial" w:cs="Arial"/>
                <w:sz w:val="18"/>
                <w:szCs w:val="18"/>
              </w:rPr>
              <w:t>Общества</w:t>
            </w:r>
            <w:r>
              <w:rPr>
                <w:rFonts w:ascii="Arial" w:eastAsia="Calibri" w:hAnsi="Arial" w:cs="Times New Roman"/>
                <w:sz w:val="18"/>
              </w:rPr>
              <w:t xml:space="preserve"> установлено, что член </w:t>
            </w:r>
            <w:r>
              <w:rPr>
                <w:rFonts w:ascii="Arial" w:eastAsia="Times New Roman" w:hAnsi="Arial" w:cs="Arial"/>
                <w:sz w:val="18"/>
                <w:szCs w:val="18"/>
              </w:rPr>
              <w:t>Совета</w:t>
            </w:r>
            <w:r>
              <w:rPr>
                <w:rFonts w:ascii="Arial" w:eastAsia="Calibri" w:hAnsi="Arial" w:cs="Times New Roman"/>
                <w:sz w:val="18"/>
              </w:rPr>
              <w:t xml:space="preserve"> директоров обязан уведомить </w:t>
            </w:r>
            <w:r>
              <w:rPr>
                <w:rFonts w:ascii="Arial" w:eastAsia="Times New Roman" w:hAnsi="Arial" w:cs="Arial"/>
                <w:sz w:val="18"/>
                <w:szCs w:val="18"/>
              </w:rPr>
              <w:t>Совет</w:t>
            </w:r>
            <w:r>
              <w:rPr>
                <w:rFonts w:ascii="Arial" w:eastAsia="Calibri" w:hAnsi="Arial" w:cs="Times New Roman"/>
                <w:sz w:val="18"/>
              </w:rPr>
              <w:t xml:space="preserve"> директоров, если у него возникает конфликт интересов в отношении любого вопроса повестки дня заседания </w:t>
            </w:r>
            <w:r>
              <w:rPr>
                <w:rFonts w:ascii="Arial" w:eastAsia="Times New Roman" w:hAnsi="Arial" w:cs="Arial"/>
                <w:sz w:val="18"/>
                <w:szCs w:val="18"/>
              </w:rPr>
              <w:t>Совета</w:t>
            </w:r>
            <w:r>
              <w:rPr>
                <w:rFonts w:ascii="Arial" w:eastAsia="Calibri" w:hAnsi="Arial" w:cs="Times New Roman"/>
                <w:sz w:val="18"/>
              </w:rPr>
              <w:t xml:space="preserve"> директоров или комитета </w:t>
            </w:r>
            <w:r>
              <w:rPr>
                <w:rFonts w:ascii="Arial" w:eastAsia="Times New Roman" w:hAnsi="Arial" w:cs="Arial"/>
                <w:sz w:val="18"/>
                <w:szCs w:val="18"/>
              </w:rPr>
              <w:t>Совета</w:t>
            </w:r>
            <w:r>
              <w:rPr>
                <w:rFonts w:ascii="Arial" w:eastAsia="Calibri" w:hAnsi="Arial" w:cs="Times New Roman"/>
                <w:sz w:val="18"/>
              </w:rPr>
              <w:t xml:space="preserve"> директоров, до начала </w:t>
            </w:r>
            <w:r>
              <w:rPr>
                <w:rFonts w:ascii="Arial" w:eastAsia="Calibri" w:hAnsi="Arial" w:cs="Times New Roman"/>
                <w:sz w:val="18"/>
              </w:rPr>
              <w:lastRenderedPageBreak/>
              <w:t>обсуждения соответствующего вопроса повестки.</w:t>
            </w:r>
          </w:p>
          <w:p w:rsidR="00C81778" w:rsidRDefault="00AB0D4E" w:rsidP="00AB0D4E">
            <w:pPr>
              <w:widowControl w:val="0"/>
              <w:numPr>
                <w:ilvl w:val="0"/>
                <w:numId w:val="59"/>
              </w:numPr>
              <w:tabs>
                <w:tab w:val="left" w:pos="30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Внутренние документы </w:t>
            </w:r>
            <w:r>
              <w:rPr>
                <w:rFonts w:ascii="Arial" w:eastAsia="Times New Roman" w:hAnsi="Arial" w:cs="Arial"/>
                <w:sz w:val="18"/>
                <w:szCs w:val="18"/>
              </w:rPr>
              <w:t>Общества</w:t>
            </w:r>
            <w:r>
              <w:rPr>
                <w:rFonts w:ascii="Arial" w:eastAsia="Calibri" w:hAnsi="Arial" w:cs="Times New Roman"/>
                <w:sz w:val="18"/>
              </w:rPr>
              <w:t xml:space="preserve"> предусматривают, что член </w:t>
            </w:r>
            <w:r>
              <w:rPr>
                <w:rFonts w:ascii="Arial" w:eastAsia="Times New Roman" w:hAnsi="Arial" w:cs="Arial"/>
                <w:sz w:val="18"/>
                <w:szCs w:val="18"/>
              </w:rPr>
              <w:t>Совета</w:t>
            </w:r>
            <w:r>
              <w:rPr>
                <w:rFonts w:ascii="Arial" w:eastAsia="Calibri" w:hAnsi="Arial" w:cs="Times New Roman"/>
                <w:sz w:val="18"/>
              </w:rPr>
              <w:t xml:space="preserve"> директоров должен воздержаться от голосования по любому вопросу, в котором у него есть конфликт интересов.</w:t>
            </w:r>
          </w:p>
          <w:p w:rsidR="00C81778" w:rsidRDefault="00AB0D4E" w:rsidP="00AB0D4E">
            <w:pPr>
              <w:widowControl w:val="0"/>
              <w:numPr>
                <w:ilvl w:val="0"/>
                <w:numId w:val="60"/>
              </w:numPr>
              <w:tabs>
                <w:tab w:val="left" w:pos="30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 </w:t>
            </w:r>
            <w:r>
              <w:rPr>
                <w:rFonts w:ascii="Arial" w:eastAsia="Times New Roman" w:hAnsi="Arial" w:cs="Arial"/>
                <w:sz w:val="18"/>
                <w:szCs w:val="18"/>
              </w:rPr>
              <w:t>Обществе</w:t>
            </w:r>
            <w:r>
              <w:rPr>
                <w:rFonts w:ascii="Arial" w:eastAsia="Calibri" w:hAnsi="Arial" w:cs="Times New Roman"/>
                <w:sz w:val="18"/>
              </w:rPr>
              <w:t xml:space="preserve"> установлена процедура, которая позволяет </w:t>
            </w:r>
            <w:r>
              <w:rPr>
                <w:rFonts w:ascii="Arial" w:eastAsia="Times New Roman" w:hAnsi="Arial" w:cs="Arial"/>
                <w:sz w:val="18"/>
                <w:szCs w:val="18"/>
              </w:rPr>
              <w:t>Совету</w:t>
            </w:r>
            <w:r>
              <w:rPr>
                <w:rFonts w:ascii="Arial" w:eastAsia="Calibri" w:hAnsi="Arial" w:cs="Times New Roman"/>
                <w:sz w:val="18"/>
              </w:rPr>
              <w:t xml:space="preserve"> директоров получать профессиональные консультации по вопросам, относящимся к его компетенции, за счет </w:t>
            </w:r>
            <w:r>
              <w:rPr>
                <w:rFonts w:ascii="Arial" w:eastAsia="Times New Roman" w:hAnsi="Arial" w:cs="Arial"/>
                <w:sz w:val="18"/>
                <w:szCs w:val="18"/>
              </w:rPr>
              <w:t>Общества.</w:t>
            </w:r>
          </w:p>
        </w:tc>
        <w:tc>
          <w:tcPr>
            <w:tcW w:w="2692" w:type="dxa"/>
            <w:shd w:val="clear" w:color="auto" w:fill="DBE5F1"/>
          </w:tcPr>
          <w:p w:rsidR="00C81778" w:rsidRDefault="00AB0D4E">
            <w:pPr>
              <w:widowControl w:val="0"/>
              <w:tabs>
                <w:tab w:val="left" w:pos="176"/>
              </w:tabs>
              <w:spacing w:after="0" w:line="240" w:lineRule="auto"/>
              <w:contextualSpacing/>
              <w:rPr>
                <w:rFonts w:ascii="Arial" w:eastAsia="Times New Roman" w:hAnsi="Arial" w:cs="Arial"/>
                <w:sz w:val="18"/>
                <w:szCs w:val="18"/>
              </w:rPr>
            </w:pPr>
            <w:r>
              <w:rPr>
                <w:rFonts w:ascii="Arial" w:eastAsia="Times New Roman" w:hAnsi="Arial" w:cs="Arial"/>
                <w:sz w:val="18"/>
                <w:szCs w:val="18"/>
              </w:rPr>
              <w:lastRenderedPageBreak/>
              <w:t>Частично соблюдается.</w:t>
            </w:r>
          </w:p>
          <w:p w:rsidR="00C81778" w:rsidRDefault="00C81778">
            <w:pPr>
              <w:widowControl w:val="0"/>
              <w:tabs>
                <w:tab w:val="left" w:pos="176"/>
              </w:tabs>
              <w:spacing w:after="0" w:line="240" w:lineRule="auto"/>
              <w:contextualSpacing/>
              <w:rPr>
                <w:rFonts w:ascii="Arial" w:eastAsia="Calibri" w:hAnsi="Arial" w:cs="Times New Roman"/>
                <w:sz w:val="18"/>
              </w:rPr>
            </w:pP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соблюдается.</w:t>
            </w:r>
          </w:p>
          <w:p w:rsidR="00C81778" w:rsidRDefault="00C81778">
            <w:pPr>
              <w:spacing w:after="0" w:line="276" w:lineRule="auto"/>
              <w:jc w:val="both"/>
              <w:rPr>
                <w:rFonts w:ascii="Arial" w:eastAsia="Calibri" w:hAnsi="Arial" w:cs="Times New Roman"/>
                <w:sz w:val="18"/>
                <w:u w:val="single"/>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частично соблюдается.</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 xml:space="preserve">Внутренними документами Общества не установлена обязанность члена Совета директоров воздержаться от голосования по </w:t>
            </w:r>
            <w:r>
              <w:rPr>
                <w:rFonts w:ascii="Arial" w:eastAsia="Calibri" w:hAnsi="Arial" w:cs="Arial"/>
                <w:sz w:val="18"/>
                <w:szCs w:val="18"/>
              </w:rPr>
              <w:lastRenderedPageBreak/>
              <w:t>любому вопросу, в котором у него есть конфликт интересов. В качестве альтернативных мер, Положение о Совете директоров обязывает каждого члена Совета директоров:</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 быть лояльным к Обществу, не использовать свое положение в Обществе и полученную информацию о деятельности Общества в личных интересах, а также не допускать их использование в личных интересах другими лицами;</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 действовать разумно, добросовестно в отношении Общества;</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 соблюдать положения Кодекса корпоративной этики, утвержденного в Обществе</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 воздерживаться от действий, которые приведут или могут привести к возникновению конфликта интересов. При возникновении конфликта интересов у члена Совета директоров последний должен информировать об этом Совет директоров путем направления уведомления Председателю Совета директоров. Уведомление должно содержать сведения о факте наличия конфликта интересов и основаниях его возникновения. Председатель Совета директоров направляет поступившее ему уведомление о наличии конфликта интересов всем членам Совета директоров до принятия решения по вопросу, по которому у члена Совета директоров имеется конфликт интересов.</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 xml:space="preserve">Член Совета директоров вправе воздержаться от голосования по вопросу, по </w:t>
            </w:r>
            <w:r>
              <w:rPr>
                <w:rFonts w:ascii="Arial" w:eastAsia="Calibri" w:hAnsi="Arial" w:cs="Arial"/>
                <w:sz w:val="18"/>
                <w:szCs w:val="18"/>
              </w:rPr>
              <w:lastRenderedPageBreak/>
              <w:t>которому у него имеется конфликт интересов.</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Председатель Совета директоров в случаях, когда того требует характер обсуждаемого вопроса либо специфика конфликта интересов, вправе предложить члену Совета директоров, имеющему конфликт интересов, не присутствовать при обсуждении соответствующего вопроса.</w:t>
            </w:r>
          </w:p>
          <w:p w:rsidR="00C81778" w:rsidRDefault="00AB0D4E">
            <w:pPr>
              <w:spacing w:after="200" w:line="276" w:lineRule="auto"/>
              <w:jc w:val="both"/>
              <w:rPr>
                <w:rFonts w:ascii="Arial" w:hAnsi="Arial" w:cs="Arial"/>
                <w:sz w:val="18"/>
                <w:szCs w:val="18"/>
              </w:rPr>
            </w:pPr>
            <w:r>
              <w:rPr>
                <w:rFonts w:ascii="Arial" w:eastAsia="Calibri" w:hAnsi="Arial" w:cs="Arial"/>
                <w:sz w:val="18"/>
                <w:szCs w:val="18"/>
              </w:rPr>
              <w:t>Если член Совета директоров, имеющий конфликт интересов, воздержался от голосования или не присутствовал на заседании Совета директоров при обсуждении вопроса повестки дня, по которому у него имеется конфликт интересов, это отражается в протоколе заседания Совета директоров.</w:t>
            </w:r>
          </w:p>
          <w:p w:rsidR="00C81778" w:rsidRDefault="00AB0D4E">
            <w:pPr>
              <w:spacing w:after="200" w:line="276" w:lineRule="auto"/>
              <w:jc w:val="both"/>
              <w:rPr>
                <w:rFonts w:ascii="Arial" w:eastAsia="Times New Roman" w:hAnsi="Arial" w:cs="Arial"/>
                <w:sz w:val="18"/>
                <w:szCs w:val="18"/>
              </w:rPr>
            </w:pPr>
            <w:r>
              <w:rPr>
                <w:rFonts w:ascii="Arial" w:eastAsia="Times New Roman" w:hAnsi="Arial" w:cs="Arial"/>
                <w:sz w:val="18"/>
                <w:szCs w:val="18"/>
              </w:rPr>
              <w:t>Общество не планирует закреплять императивное требование отказываться от голосования по любому вопросу, в котором у члена Совета директоров есть конфликт интересов. Существующая практика «мягкого» регулирования, по мнению Общества, достаточна для исключения рисков возникновения конфликта интересов и в полной мере соответствует подходу Кодекса корпоративного управления, рекомендованного к применению Банком России.</w:t>
            </w:r>
          </w:p>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3: соблюдается.</w:t>
            </w:r>
          </w:p>
          <w:p w:rsidR="00C81778" w:rsidRDefault="00C81778">
            <w:pPr>
              <w:spacing w:after="0" w:line="276" w:lineRule="auto"/>
              <w:jc w:val="both"/>
              <w:rPr>
                <w:rFonts w:ascii="Arial" w:eastAsia="Calibri" w:hAnsi="Arial" w:cs="Arial"/>
                <w:sz w:val="18"/>
                <w:szCs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2.6.2</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Права и обязанности членов </w:t>
            </w:r>
            <w:r>
              <w:rPr>
                <w:rFonts w:ascii="Arial" w:eastAsia="Calibri" w:hAnsi="Arial" w:cs="Arial"/>
                <w:sz w:val="18"/>
                <w:szCs w:val="18"/>
              </w:rPr>
              <w:t>Совета</w:t>
            </w:r>
            <w:r>
              <w:rPr>
                <w:rFonts w:ascii="Arial" w:eastAsia="Calibri" w:hAnsi="Arial" w:cs="Times New Roman"/>
                <w:sz w:val="18"/>
              </w:rPr>
              <w:t xml:space="preserve"> директоров четко сформулированы и закреплены во внутренних документах </w:t>
            </w:r>
            <w:r>
              <w:rPr>
                <w:rFonts w:ascii="Arial" w:eastAsia="Calibri" w:hAnsi="Arial" w:cs="Arial"/>
                <w:sz w:val="18"/>
                <w:szCs w:val="18"/>
              </w:rPr>
              <w:t>Общества.</w:t>
            </w:r>
          </w:p>
        </w:tc>
        <w:tc>
          <w:tcPr>
            <w:tcW w:w="3827" w:type="dxa"/>
          </w:tcPr>
          <w:p w:rsidR="00C81778" w:rsidRDefault="00AB0D4E" w:rsidP="00AB0D4E">
            <w:pPr>
              <w:widowControl w:val="0"/>
              <w:numPr>
                <w:ilvl w:val="0"/>
                <w:numId w:val="61"/>
              </w:numPr>
              <w:tabs>
                <w:tab w:val="left" w:pos="285"/>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В </w:t>
            </w:r>
            <w:r>
              <w:rPr>
                <w:rFonts w:ascii="Arial" w:eastAsia="Calibri" w:hAnsi="Arial" w:cs="Arial"/>
                <w:sz w:val="18"/>
                <w:szCs w:val="18"/>
              </w:rPr>
              <w:t>Обществе</w:t>
            </w:r>
            <w:r>
              <w:rPr>
                <w:rFonts w:ascii="Arial" w:eastAsia="Calibri" w:hAnsi="Arial" w:cs="Times New Roman"/>
                <w:sz w:val="18"/>
              </w:rPr>
              <w:t xml:space="preserve"> принят и опубликован внутренний документ, четко определяющий права и обязанности членов </w:t>
            </w:r>
            <w:r>
              <w:rPr>
                <w:rFonts w:ascii="Arial" w:eastAsia="Calibri" w:hAnsi="Arial" w:cs="Arial"/>
                <w:sz w:val="18"/>
                <w:szCs w:val="18"/>
              </w:rPr>
              <w:t>Совета</w:t>
            </w:r>
            <w:r>
              <w:rPr>
                <w:rFonts w:ascii="Arial" w:eastAsia="Calibri" w:hAnsi="Arial" w:cs="Times New Roman"/>
                <w:sz w:val="18"/>
              </w:rPr>
              <w:t xml:space="preserve"> директоров</w:t>
            </w:r>
            <w:r>
              <w:rPr>
                <w:rFonts w:ascii="Arial" w:eastAsia="Calibri"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2.6.3</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Члены </w:t>
            </w:r>
            <w:r>
              <w:rPr>
                <w:rFonts w:ascii="Arial" w:eastAsia="Times New Roman" w:hAnsi="Arial" w:cs="Arial"/>
                <w:sz w:val="18"/>
                <w:szCs w:val="18"/>
              </w:rPr>
              <w:t>Совета</w:t>
            </w:r>
            <w:r>
              <w:rPr>
                <w:rFonts w:ascii="Arial" w:eastAsia="Calibri" w:hAnsi="Arial" w:cs="Times New Roman"/>
                <w:sz w:val="18"/>
              </w:rPr>
              <w:t xml:space="preserve"> директоров имеют достаточно времени для выполнения </w:t>
            </w:r>
            <w:r>
              <w:rPr>
                <w:rFonts w:ascii="Arial" w:eastAsia="Calibri" w:hAnsi="Arial" w:cs="Times New Roman"/>
                <w:sz w:val="18"/>
              </w:rPr>
              <w:lastRenderedPageBreak/>
              <w:t>своих обязанностей</w:t>
            </w:r>
            <w:r>
              <w:rPr>
                <w:rFonts w:ascii="Arial" w:eastAsia="Times New Roman" w:hAnsi="Arial" w:cs="Arial"/>
                <w:sz w:val="18"/>
                <w:szCs w:val="18"/>
              </w:rPr>
              <w:t>.</w:t>
            </w:r>
          </w:p>
        </w:tc>
        <w:tc>
          <w:tcPr>
            <w:tcW w:w="3827" w:type="dxa"/>
            <w:shd w:val="clear" w:color="auto" w:fill="auto"/>
          </w:tcPr>
          <w:p w:rsidR="00C81778" w:rsidRDefault="00AB0D4E" w:rsidP="00AB0D4E">
            <w:pPr>
              <w:widowControl w:val="0"/>
              <w:numPr>
                <w:ilvl w:val="0"/>
                <w:numId w:val="62"/>
              </w:numPr>
              <w:tabs>
                <w:tab w:val="left" w:pos="33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lastRenderedPageBreak/>
              <w:t xml:space="preserve">Индивидуальная посещаемость заседаний Совета и комитетов, а также </w:t>
            </w:r>
            <w:r>
              <w:rPr>
                <w:rFonts w:ascii="Arial" w:eastAsia="Calibri" w:hAnsi="Arial" w:cs="Times New Roman"/>
                <w:sz w:val="18"/>
              </w:rPr>
              <w:lastRenderedPageBreak/>
              <w:t>достаточность времени для работы в Совете директоров, в том числе в его комитетах, проанализирована в рамках процедуры оценки (самооценки) качества работы Совета директоров в отчетном периоде.</w:t>
            </w:r>
          </w:p>
          <w:p w:rsidR="00C81778" w:rsidRDefault="00AB0D4E" w:rsidP="00AB0D4E">
            <w:pPr>
              <w:widowControl w:val="0"/>
              <w:numPr>
                <w:ilvl w:val="0"/>
                <w:numId w:val="63"/>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В соответствии с внутренними документами </w:t>
            </w:r>
            <w:r>
              <w:rPr>
                <w:rFonts w:ascii="Arial" w:eastAsia="Times New Roman" w:hAnsi="Arial" w:cs="Arial"/>
                <w:sz w:val="18"/>
                <w:szCs w:val="18"/>
              </w:rPr>
              <w:t>Общества</w:t>
            </w:r>
            <w:r>
              <w:rPr>
                <w:rFonts w:ascii="Arial" w:eastAsia="Calibri" w:hAnsi="Arial" w:cs="Times New Roman"/>
                <w:sz w:val="18"/>
              </w:rPr>
              <w:t xml:space="preserve"> члены </w:t>
            </w:r>
            <w:r>
              <w:rPr>
                <w:rFonts w:ascii="Arial" w:eastAsia="Times New Roman" w:hAnsi="Arial" w:cs="Arial"/>
                <w:sz w:val="18"/>
                <w:szCs w:val="18"/>
              </w:rPr>
              <w:t>Совета</w:t>
            </w:r>
            <w:r>
              <w:rPr>
                <w:rFonts w:ascii="Arial" w:eastAsia="Calibri" w:hAnsi="Arial" w:cs="Times New Roman"/>
                <w:sz w:val="18"/>
              </w:rPr>
              <w:t xml:space="preserve"> директоров обязаны уведомлять </w:t>
            </w:r>
            <w:r>
              <w:rPr>
                <w:rFonts w:ascii="Arial" w:eastAsia="Times New Roman" w:hAnsi="Arial" w:cs="Arial"/>
                <w:sz w:val="18"/>
                <w:szCs w:val="18"/>
              </w:rPr>
              <w:t>Совет</w:t>
            </w:r>
            <w:r>
              <w:rPr>
                <w:rFonts w:ascii="Arial" w:eastAsia="Calibri" w:hAnsi="Arial" w:cs="Times New Roman"/>
                <w:sz w:val="18"/>
              </w:rPr>
              <w:t xml:space="preserve"> директоров о своем намерении войти в состав органов управления других организаций (помимо подконтрольных Обществу организаций), а также о факте такого назначения.</w:t>
            </w:r>
          </w:p>
        </w:tc>
        <w:tc>
          <w:tcPr>
            <w:tcW w:w="2692" w:type="dxa"/>
            <w:shd w:val="clear" w:color="auto" w:fill="auto"/>
          </w:tcPr>
          <w:p w:rsidR="00C81778" w:rsidRDefault="00AB0D4E">
            <w:pPr>
              <w:widowControl w:val="0"/>
              <w:spacing w:after="0" w:line="240" w:lineRule="auto"/>
              <w:contextualSpacing/>
              <w:jc w:val="both"/>
              <w:rPr>
                <w:rFonts w:ascii="Arial" w:eastAsia="Calibri" w:hAnsi="Arial" w:cs="Times New Roman"/>
                <w:sz w:val="18"/>
              </w:rPr>
            </w:pPr>
            <w:r>
              <w:rPr>
                <w:rFonts w:ascii="Arial" w:eastAsia="Calibri" w:hAnsi="Arial" w:cs="Times New Roman"/>
                <w:sz w:val="18"/>
              </w:rPr>
              <w:lastRenderedPageBreak/>
              <w:t>Частично соблюдается.</w:t>
            </w:r>
          </w:p>
        </w:tc>
        <w:tc>
          <w:tcPr>
            <w:tcW w:w="3966" w:type="dxa"/>
            <w:shd w:val="clear" w:color="auto" w:fill="auto"/>
          </w:tcPr>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1: соблюдается.</w:t>
            </w:r>
          </w:p>
          <w:p w:rsidR="00C81778" w:rsidRDefault="00AB0D4E">
            <w:pPr>
              <w:spacing w:after="0" w:line="276" w:lineRule="auto"/>
              <w:jc w:val="both"/>
              <w:rPr>
                <w:rFonts w:ascii="Arial" w:eastAsia="Calibri" w:hAnsi="Arial" w:cs="Times New Roman"/>
                <w:sz w:val="18"/>
              </w:rPr>
            </w:pPr>
            <w:r>
              <w:rPr>
                <w:rFonts w:ascii="Arial" w:eastAsia="Calibri" w:hAnsi="Arial" w:cs="Times New Roman"/>
                <w:sz w:val="18"/>
              </w:rPr>
              <w:lastRenderedPageBreak/>
              <w:t>Комментарий к соблюдению критерия 1: в настоящее время, Обществом проведена оценка деятельности Совета директоров и комитетов по итогам 2023-2024 гг., результаты которой рассмотрены Советом директоров ПАО «ОГК-2» в 2024 г. В рамках проведенной оценки, в том числе, была проанализирована индивидуальная посещаемость заседаний Совета директоров и комитетов Совета директоров, а также достаточность времени для работы в Совете директоров, в том числе в его комитетах.</w:t>
            </w:r>
          </w:p>
          <w:p w:rsidR="00C81778" w:rsidRDefault="00C81778">
            <w:pPr>
              <w:spacing w:after="0" w:line="276" w:lineRule="auto"/>
              <w:jc w:val="both"/>
              <w:rPr>
                <w:rFonts w:ascii="Arial" w:eastAsia="Calibri" w:hAnsi="Arial" w:cs="Times New Roman"/>
                <w:sz w:val="18"/>
                <w:u w:val="single"/>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частично соблюдается.</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В соответствии с внутренними документами Общества члены Совета директоров не обязаны уведомлять Совет директоров ПАО «ОГК-2» о своем намерении войти в состав органов управления других организаций (помимо подконтрольных и зависимых организаций Общества), но обязаны сообщать о факте такого назначения. При этом для проведения периодического анализа на предмет соответствия члена Совета директоров критериям независимости, Общество 2 раза в год запрашивает у членов Совета директоров ПАО «ОГК-2» анкеты, содержащие, в том числе и информацию о членстве директора в составах органов управления других организаций.</w:t>
            </w:r>
          </w:p>
          <w:p w:rsidR="00C81778" w:rsidRDefault="00AB0D4E">
            <w:pPr>
              <w:spacing w:after="200" w:line="276" w:lineRule="auto"/>
              <w:jc w:val="both"/>
              <w:rPr>
                <w:rFonts w:ascii="Arial" w:eastAsia="Calibri" w:hAnsi="Arial" w:cs="Times New Roman"/>
                <w:sz w:val="18"/>
              </w:rPr>
            </w:pPr>
            <w:r>
              <w:rPr>
                <w:rFonts w:ascii="Arial" w:eastAsia="Times New Roman" w:hAnsi="Arial" w:cs="Arial"/>
                <w:bCs/>
                <w:sz w:val="18"/>
                <w:szCs w:val="18"/>
              </w:rPr>
              <w:t xml:space="preserve">Учитывая, что ПАО «ОГК-2» входит в Группу Газпром, управление в которой осуществляется по единым корпоративным стандартам, которым соответствует и действующее Положение о Совете директоров, в ближайшее время корректировка данного документа, связанная с закреплением обязанности </w:t>
            </w:r>
            <w:r>
              <w:rPr>
                <w:rFonts w:ascii="Arial" w:eastAsia="Times New Roman" w:hAnsi="Arial" w:cs="Arial"/>
                <w:bCs/>
                <w:sz w:val="18"/>
                <w:szCs w:val="18"/>
              </w:rPr>
              <w:lastRenderedPageBreak/>
              <w:t>членов Совета директоров уведомлять Общество о намерении войти в состав органов управления других организаций, не планируется. Кроме того, Общество полагает, что существующая практика, достаточна для организации эффективной работы Совета директоров с учетом загруженности каждого директора</w:t>
            </w:r>
            <w:r>
              <w:rPr>
                <w:rFonts w:ascii="Arial" w:eastAsia="Times New Roman" w:hAnsi="Arial" w:cs="Arial"/>
                <w:sz w:val="18"/>
                <w:szCs w:val="18"/>
              </w:rPr>
              <w:t>.</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2.6.4</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Все члены </w:t>
            </w:r>
            <w:r>
              <w:rPr>
                <w:rFonts w:ascii="Arial" w:eastAsia="Times New Roman" w:hAnsi="Arial" w:cs="Arial"/>
                <w:sz w:val="18"/>
                <w:szCs w:val="18"/>
              </w:rPr>
              <w:t>Совета</w:t>
            </w:r>
            <w:r>
              <w:rPr>
                <w:rFonts w:ascii="Arial" w:eastAsia="Calibri" w:hAnsi="Arial" w:cs="Times New Roman"/>
                <w:sz w:val="18"/>
              </w:rPr>
              <w:t xml:space="preserve"> директоров в равной степени имеют возможность доступа к документам и информации </w:t>
            </w:r>
            <w:r>
              <w:rPr>
                <w:rFonts w:ascii="Arial" w:eastAsia="Times New Roman" w:hAnsi="Arial" w:cs="Arial"/>
                <w:sz w:val="18"/>
                <w:szCs w:val="18"/>
              </w:rPr>
              <w:t>Общества</w:t>
            </w:r>
            <w:r>
              <w:rPr>
                <w:rFonts w:ascii="Arial" w:eastAsia="Calibri" w:hAnsi="Arial" w:cs="Times New Roman"/>
                <w:sz w:val="18"/>
              </w:rPr>
              <w:t xml:space="preserve">. Вновь избранным членам </w:t>
            </w:r>
            <w:r>
              <w:rPr>
                <w:rFonts w:ascii="Arial" w:eastAsia="Times New Roman" w:hAnsi="Arial" w:cs="Arial"/>
                <w:sz w:val="18"/>
                <w:szCs w:val="18"/>
              </w:rPr>
              <w:t>Совета</w:t>
            </w:r>
            <w:r>
              <w:rPr>
                <w:rFonts w:ascii="Arial" w:eastAsia="Calibri" w:hAnsi="Arial" w:cs="Times New Roman"/>
                <w:sz w:val="18"/>
              </w:rPr>
              <w:t xml:space="preserve"> директоров в максимально возможный короткий срок предоставляется достаточная информация об </w:t>
            </w:r>
            <w:r>
              <w:rPr>
                <w:rFonts w:ascii="Arial" w:eastAsia="Times New Roman" w:hAnsi="Arial" w:cs="Arial"/>
                <w:sz w:val="18"/>
                <w:szCs w:val="18"/>
              </w:rPr>
              <w:t>Обществе</w:t>
            </w:r>
            <w:r>
              <w:rPr>
                <w:rFonts w:ascii="Arial" w:eastAsia="Calibri" w:hAnsi="Arial" w:cs="Times New Roman"/>
                <w:sz w:val="18"/>
              </w:rPr>
              <w:t xml:space="preserve"> и о работе </w:t>
            </w:r>
            <w:r>
              <w:rPr>
                <w:rFonts w:ascii="Arial" w:eastAsia="Times New Roman" w:hAnsi="Arial" w:cs="Arial"/>
                <w:sz w:val="18"/>
                <w:szCs w:val="18"/>
              </w:rPr>
              <w:t>Совета</w:t>
            </w:r>
            <w:r>
              <w:rPr>
                <w:rFonts w:ascii="Arial" w:eastAsia="Calibri" w:hAnsi="Arial" w:cs="Times New Roman"/>
                <w:sz w:val="18"/>
              </w:rPr>
              <w:t xml:space="preserve"> директоров</w:t>
            </w:r>
            <w:r>
              <w:rPr>
                <w:rFonts w:ascii="Arial" w:eastAsia="Times New Roman" w:hAnsi="Arial" w:cs="Arial"/>
                <w:sz w:val="18"/>
                <w:szCs w:val="18"/>
              </w:rPr>
              <w:t>.</w:t>
            </w:r>
          </w:p>
        </w:tc>
        <w:tc>
          <w:tcPr>
            <w:tcW w:w="3827" w:type="dxa"/>
          </w:tcPr>
          <w:p w:rsidR="00C81778" w:rsidRDefault="00AB0D4E" w:rsidP="00AB0D4E">
            <w:pPr>
              <w:widowControl w:val="0"/>
              <w:numPr>
                <w:ilvl w:val="0"/>
                <w:numId w:val="64"/>
              </w:numPr>
              <w:tabs>
                <w:tab w:val="left" w:pos="30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В соответствии с внутренними документами Общества члены Совета директоров имеют право получать информацию и документы, необходимые членам Совета директоров Общества для исполнения ими своих обязанностей, касающиеся Общества и подконтрольных ему организаций, а исполнительные органы </w:t>
            </w:r>
            <w:r>
              <w:rPr>
                <w:rFonts w:ascii="Arial" w:eastAsia="Times New Roman" w:hAnsi="Arial" w:cs="Arial"/>
                <w:sz w:val="18"/>
                <w:szCs w:val="18"/>
              </w:rPr>
              <w:t>Общества</w:t>
            </w:r>
            <w:r>
              <w:rPr>
                <w:rFonts w:ascii="Arial" w:eastAsia="Calibri" w:hAnsi="Arial" w:cs="Times New Roman"/>
                <w:sz w:val="18"/>
              </w:rPr>
              <w:t xml:space="preserve"> обязаны обеспечить предоставление соответствующей информации и документов.</w:t>
            </w:r>
          </w:p>
          <w:p w:rsidR="00C81778" w:rsidRDefault="00AB0D4E" w:rsidP="00AB0D4E">
            <w:pPr>
              <w:widowControl w:val="0"/>
              <w:numPr>
                <w:ilvl w:val="0"/>
                <w:numId w:val="65"/>
              </w:numPr>
              <w:tabs>
                <w:tab w:val="left" w:pos="30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В Обществе реализуется формализованная программа ознакомительных мероприятий для вновь избранных членов Совета директоров.</w:t>
            </w:r>
          </w:p>
        </w:tc>
        <w:tc>
          <w:tcPr>
            <w:tcW w:w="2692" w:type="dxa"/>
          </w:tcPr>
          <w:p w:rsidR="00C81778" w:rsidRDefault="00AB0D4E">
            <w:pPr>
              <w:widowControl w:val="0"/>
              <w:spacing w:after="0" w:line="240" w:lineRule="auto"/>
              <w:contextualSpacing/>
              <w:rPr>
                <w:rFonts w:ascii="Arial" w:eastAsia="Times New Roman" w:hAnsi="Arial" w:cs="Arial"/>
                <w:sz w:val="18"/>
                <w:szCs w:val="18"/>
              </w:rPr>
            </w:pPr>
            <w:r>
              <w:rPr>
                <w:rFonts w:ascii="Arial" w:eastAsia="Times New Roman" w:hAnsi="Arial" w:cs="Arial"/>
                <w:sz w:val="18"/>
                <w:szCs w:val="18"/>
              </w:rPr>
              <w:t>Соблюдается.</w:t>
            </w:r>
          </w:p>
          <w:p w:rsidR="00C81778" w:rsidRDefault="00C81778">
            <w:pPr>
              <w:widowControl w:val="0"/>
              <w:spacing w:after="0" w:line="240" w:lineRule="auto"/>
              <w:ind w:left="357"/>
              <w:contextualSpacing/>
              <w:rPr>
                <w:rFonts w:ascii="Arial" w:eastAsia="Calibri" w:hAnsi="Arial" w:cs="Times New Roman"/>
                <w:sz w:val="18"/>
              </w:rPr>
            </w:pPr>
          </w:p>
        </w:tc>
        <w:tc>
          <w:tcPr>
            <w:tcW w:w="3966" w:type="dxa"/>
          </w:tcPr>
          <w:p w:rsidR="00C81778" w:rsidRDefault="00AB0D4E">
            <w:pPr>
              <w:spacing w:after="0" w:line="276" w:lineRule="auto"/>
              <w:jc w:val="both"/>
              <w:rPr>
                <w:rFonts w:ascii="Arial" w:eastAsia="Calibri" w:hAnsi="Arial" w:cs="Arial"/>
                <w:sz w:val="18"/>
                <w:szCs w:val="18"/>
                <w:u w:val="single"/>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Критерий 2: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2.7</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Заседания </w:t>
            </w:r>
            <w:r>
              <w:rPr>
                <w:rFonts w:ascii="Arial" w:eastAsia="Calibri" w:hAnsi="Arial" w:cs="Arial"/>
                <w:b/>
                <w:sz w:val="18"/>
                <w:szCs w:val="18"/>
              </w:rPr>
              <w:t>Совета</w:t>
            </w:r>
            <w:r>
              <w:rPr>
                <w:rFonts w:ascii="Arial" w:eastAsia="Calibri" w:hAnsi="Arial" w:cs="Times New Roman"/>
                <w:b/>
                <w:sz w:val="18"/>
              </w:rPr>
              <w:t xml:space="preserve"> директоров, подготовка к ним и участие в них членов </w:t>
            </w:r>
            <w:r>
              <w:rPr>
                <w:rFonts w:ascii="Arial" w:eastAsia="Calibri" w:hAnsi="Arial" w:cs="Arial"/>
                <w:b/>
                <w:sz w:val="18"/>
                <w:szCs w:val="18"/>
              </w:rPr>
              <w:t>Совета</w:t>
            </w:r>
            <w:r>
              <w:rPr>
                <w:rFonts w:ascii="Arial" w:eastAsia="Calibri" w:hAnsi="Arial" w:cs="Times New Roman"/>
                <w:b/>
                <w:sz w:val="18"/>
              </w:rPr>
              <w:t xml:space="preserve"> директоров обеспечивают эффективную деятельность </w:t>
            </w:r>
            <w:r>
              <w:rPr>
                <w:rFonts w:ascii="Arial" w:eastAsia="Calibri" w:hAnsi="Arial" w:cs="Arial"/>
                <w:b/>
                <w:sz w:val="18"/>
                <w:szCs w:val="18"/>
              </w:rPr>
              <w:t>Совета</w:t>
            </w:r>
            <w:r>
              <w:rPr>
                <w:rFonts w:ascii="Arial" w:eastAsia="Calibri" w:hAnsi="Arial" w:cs="Times New Roman"/>
                <w:b/>
                <w:sz w:val="18"/>
              </w:rPr>
              <w:t xml:space="preserve"> директоров</w:t>
            </w:r>
            <w:r>
              <w:rPr>
                <w:rFonts w:ascii="Arial" w:eastAsia="Calibri" w:hAnsi="Arial" w:cs="Arial"/>
                <w:b/>
                <w:sz w:val="18"/>
                <w:szCs w:val="18"/>
              </w:rPr>
              <w:t>.</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2.7.1</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Заседания </w:t>
            </w:r>
            <w:r>
              <w:rPr>
                <w:rFonts w:ascii="Arial" w:eastAsia="Calibri" w:hAnsi="Arial" w:cs="Arial"/>
                <w:sz w:val="18"/>
                <w:szCs w:val="18"/>
              </w:rPr>
              <w:t>Совета</w:t>
            </w:r>
            <w:r>
              <w:rPr>
                <w:rFonts w:ascii="Arial" w:eastAsia="Calibri" w:hAnsi="Arial" w:cs="Times New Roman"/>
                <w:sz w:val="18"/>
              </w:rPr>
              <w:t xml:space="preserve"> директоров проводятся по мере необходимости, с учетом масштабов деятельности и стоящих перед </w:t>
            </w:r>
            <w:r>
              <w:rPr>
                <w:rFonts w:ascii="Arial" w:eastAsia="Calibri" w:hAnsi="Arial" w:cs="Arial"/>
                <w:sz w:val="18"/>
                <w:szCs w:val="18"/>
              </w:rPr>
              <w:t>Обществом</w:t>
            </w:r>
            <w:r>
              <w:rPr>
                <w:rFonts w:ascii="Arial" w:eastAsia="Calibri" w:hAnsi="Arial" w:cs="Times New Roman"/>
                <w:sz w:val="18"/>
              </w:rPr>
              <w:t xml:space="preserve"> в определенный период времени задач</w:t>
            </w:r>
            <w:r>
              <w:rPr>
                <w:rFonts w:ascii="Arial" w:eastAsia="Calibri" w:hAnsi="Arial" w:cs="Arial"/>
                <w:sz w:val="18"/>
                <w:szCs w:val="18"/>
              </w:rPr>
              <w:t>.</w:t>
            </w:r>
          </w:p>
        </w:tc>
        <w:tc>
          <w:tcPr>
            <w:tcW w:w="3827" w:type="dxa"/>
          </w:tcPr>
          <w:p w:rsidR="00C81778" w:rsidRDefault="00AB0D4E" w:rsidP="00AB0D4E">
            <w:pPr>
              <w:widowControl w:val="0"/>
              <w:numPr>
                <w:ilvl w:val="0"/>
                <w:numId w:val="66"/>
              </w:numPr>
              <w:tabs>
                <w:tab w:val="left" w:pos="30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Совет директоров провел не менее шести заседаний за отчетный год</w:t>
            </w:r>
            <w:r>
              <w:rPr>
                <w:rFonts w:ascii="Arial" w:eastAsia="Calibri"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2.7.2</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Во внутренних документах </w:t>
            </w:r>
            <w:r>
              <w:rPr>
                <w:rFonts w:ascii="Arial" w:eastAsia="Calibri" w:hAnsi="Arial" w:cs="Arial"/>
                <w:sz w:val="18"/>
                <w:szCs w:val="18"/>
              </w:rPr>
              <w:t>Общества</w:t>
            </w:r>
            <w:r>
              <w:rPr>
                <w:rFonts w:ascii="Arial" w:eastAsia="Calibri" w:hAnsi="Arial" w:cs="Times New Roman"/>
                <w:sz w:val="18"/>
              </w:rPr>
              <w:t xml:space="preserve"> закреплен порядок подготовки и проведения заседаний </w:t>
            </w:r>
            <w:r>
              <w:rPr>
                <w:rFonts w:ascii="Arial" w:eastAsia="Calibri" w:hAnsi="Arial" w:cs="Arial"/>
                <w:sz w:val="18"/>
                <w:szCs w:val="18"/>
              </w:rPr>
              <w:t>Совета</w:t>
            </w:r>
            <w:r>
              <w:rPr>
                <w:rFonts w:ascii="Arial" w:eastAsia="Calibri" w:hAnsi="Arial" w:cs="Times New Roman"/>
                <w:sz w:val="18"/>
              </w:rPr>
              <w:t xml:space="preserve"> директоров, обеспечивающий членам </w:t>
            </w:r>
            <w:r>
              <w:rPr>
                <w:rFonts w:ascii="Arial" w:eastAsia="Calibri" w:hAnsi="Arial" w:cs="Arial"/>
                <w:sz w:val="18"/>
                <w:szCs w:val="18"/>
              </w:rPr>
              <w:t>Совета</w:t>
            </w:r>
            <w:r>
              <w:rPr>
                <w:rFonts w:ascii="Arial" w:eastAsia="Calibri" w:hAnsi="Arial" w:cs="Times New Roman"/>
                <w:sz w:val="18"/>
              </w:rPr>
              <w:t xml:space="preserve"> директоров возможность надлежащим образом подготовиться к его проведению</w:t>
            </w:r>
            <w:r>
              <w:rPr>
                <w:rFonts w:ascii="Arial" w:eastAsia="Calibri" w:hAnsi="Arial" w:cs="Arial"/>
                <w:sz w:val="18"/>
                <w:szCs w:val="18"/>
              </w:rPr>
              <w:t>.</w:t>
            </w:r>
          </w:p>
        </w:tc>
        <w:tc>
          <w:tcPr>
            <w:tcW w:w="3827" w:type="dxa"/>
            <w:shd w:val="clear" w:color="auto" w:fill="DBE5F1"/>
          </w:tcPr>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Calibri" w:hAnsi="Arial" w:cs="Arial"/>
                <w:sz w:val="18"/>
                <w:szCs w:val="20"/>
                <w:lang w:eastAsia="ru-RU"/>
              </w:rPr>
              <w:t xml:space="preserve">1. В </w:t>
            </w:r>
            <w:r>
              <w:rPr>
                <w:rFonts w:ascii="Arial" w:eastAsia="Calibri" w:hAnsi="Arial" w:cs="Arial"/>
                <w:sz w:val="18"/>
                <w:szCs w:val="18"/>
                <w:lang w:eastAsia="ru-RU"/>
              </w:rPr>
              <w:t>Обществе</w:t>
            </w:r>
            <w:r>
              <w:rPr>
                <w:rFonts w:ascii="Arial" w:eastAsia="Calibri" w:hAnsi="Arial" w:cs="Arial"/>
                <w:sz w:val="18"/>
                <w:szCs w:val="20"/>
                <w:lang w:eastAsia="ru-RU"/>
              </w:rPr>
              <w:t xml:space="preserve"> утвержден внутренний документ, определяющий процедуру подготовки и проведения заседаний </w:t>
            </w:r>
            <w:r>
              <w:rPr>
                <w:rFonts w:ascii="Arial" w:eastAsia="Calibri" w:hAnsi="Arial" w:cs="Arial"/>
                <w:sz w:val="18"/>
                <w:szCs w:val="18"/>
                <w:lang w:eastAsia="ru-RU"/>
              </w:rPr>
              <w:t>Совета</w:t>
            </w:r>
            <w:r>
              <w:rPr>
                <w:rFonts w:ascii="Arial" w:eastAsia="Calibri" w:hAnsi="Arial" w:cs="Arial"/>
                <w:sz w:val="18"/>
                <w:szCs w:val="20"/>
                <w:lang w:eastAsia="ru-RU"/>
              </w:rPr>
              <w:t xml:space="preserve"> директоров, в котором в том числе установлено, что уведомление о проведении заседания должно быть сделано, как правило, не менее чем за </w:t>
            </w:r>
            <w:r>
              <w:rPr>
                <w:rFonts w:ascii="Arial" w:eastAsia="Calibri" w:hAnsi="Arial" w:cs="Arial"/>
                <w:sz w:val="18"/>
                <w:szCs w:val="18"/>
                <w:lang w:eastAsia="ru-RU"/>
              </w:rPr>
              <w:t>5</w:t>
            </w:r>
            <w:r>
              <w:rPr>
                <w:rFonts w:ascii="Arial" w:eastAsia="Calibri" w:hAnsi="Arial" w:cs="Arial"/>
                <w:sz w:val="18"/>
                <w:szCs w:val="20"/>
                <w:lang w:eastAsia="ru-RU"/>
              </w:rPr>
              <w:t xml:space="preserve"> дней до даты его проведения.</w:t>
            </w:r>
          </w:p>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Times New Roman" w:hAnsi="Arial" w:cs="Arial"/>
                <w:sz w:val="20"/>
                <w:szCs w:val="20"/>
                <w:lang w:eastAsia="ru-RU"/>
              </w:rPr>
              <w:t xml:space="preserve">2. </w:t>
            </w:r>
            <w:r>
              <w:rPr>
                <w:rFonts w:ascii="Arial" w:eastAsia="Calibri" w:hAnsi="Arial" w:cs="Arial"/>
                <w:sz w:val="18"/>
                <w:szCs w:val="20"/>
                <w:lang w:eastAsia="ru-RU"/>
              </w:rPr>
              <w:t xml:space="preserve">В отчетном периоде отсутствующим в месте проведения заседания Совета </w:t>
            </w:r>
            <w:r>
              <w:rPr>
                <w:rFonts w:ascii="Arial" w:eastAsia="Calibri" w:hAnsi="Arial" w:cs="Arial"/>
                <w:sz w:val="18"/>
                <w:szCs w:val="20"/>
                <w:lang w:eastAsia="ru-RU"/>
              </w:rPr>
              <w:lastRenderedPageBreak/>
              <w:t>директоров членам Совета директоров предоставлялась возможность участия в обсуждении вопросов повестки дня и голосовании дистанционно - посредством конференц- и видео-конференц-связи.</w:t>
            </w:r>
          </w:p>
        </w:tc>
        <w:tc>
          <w:tcPr>
            <w:tcW w:w="2692" w:type="dxa"/>
            <w:shd w:val="clear" w:color="auto" w:fill="DBE5F1"/>
          </w:tcPr>
          <w:p w:rsidR="00C81778" w:rsidRDefault="00AB0D4E">
            <w:pPr>
              <w:widowControl w:val="0"/>
              <w:spacing w:after="200" w:line="276" w:lineRule="auto"/>
              <w:contextualSpacing/>
              <w:rPr>
                <w:rFonts w:ascii="Arial" w:eastAsia="Calibri" w:hAnsi="Arial" w:cs="Arial"/>
                <w:sz w:val="18"/>
                <w:szCs w:val="18"/>
              </w:rPr>
            </w:pPr>
            <w:r>
              <w:rPr>
                <w:rFonts w:ascii="Arial" w:eastAsia="Calibri" w:hAnsi="Arial" w:cs="Arial"/>
                <w:sz w:val="18"/>
                <w:szCs w:val="18"/>
              </w:rPr>
              <w:lastRenderedPageBreak/>
              <w:t>Соблюдается.</w:t>
            </w:r>
          </w:p>
          <w:p w:rsidR="00C81778" w:rsidRDefault="00C81778">
            <w:pPr>
              <w:widowControl w:val="0"/>
              <w:spacing w:after="200" w:line="276" w:lineRule="auto"/>
              <w:contextualSpacing/>
              <w:rPr>
                <w:rFonts w:ascii="Arial" w:eastAsia="Calibri" w:hAnsi="Arial" w:cs="Times New Roman"/>
                <w:sz w:val="18"/>
              </w:rPr>
            </w:pPr>
          </w:p>
        </w:tc>
        <w:tc>
          <w:tcPr>
            <w:tcW w:w="3966" w:type="dxa"/>
            <w:shd w:val="clear" w:color="auto" w:fill="DBE5F1"/>
          </w:tcPr>
          <w:p w:rsidR="00C81778" w:rsidRDefault="00AB0D4E">
            <w:pPr>
              <w:spacing w:after="0" w:line="276" w:lineRule="auto"/>
              <w:jc w:val="both"/>
              <w:rPr>
                <w:rFonts w:ascii="Arial" w:eastAsia="Calibri" w:hAnsi="Arial" w:cs="Arial"/>
                <w:sz w:val="18"/>
                <w:szCs w:val="18"/>
                <w:u w:val="single"/>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p w:rsidR="00C81778" w:rsidRDefault="00AB0D4E">
            <w:pPr>
              <w:spacing w:after="0" w:line="276" w:lineRule="auto"/>
              <w:jc w:val="both"/>
              <w:rPr>
                <w:rFonts w:ascii="Arial" w:eastAsia="Calibri" w:hAnsi="Arial" w:cs="Times New Roman"/>
                <w:sz w:val="18"/>
              </w:rPr>
            </w:pPr>
            <w:r>
              <w:rPr>
                <w:rFonts w:ascii="Arial" w:eastAsia="Calibri" w:hAnsi="Arial" w:cs="Arial"/>
                <w:sz w:val="18"/>
                <w:szCs w:val="18"/>
                <w:u w:val="single"/>
              </w:rPr>
              <w:t>Критерий 2: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2.7.3</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Форма проведения заседания </w:t>
            </w:r>
            <w:r>
              <w:rPr>
                <w:rFonts w:ascii="Arial" w:eastAsia="Calibri" w:hAnsi="Arial" w:cs="Arial"/>
                <w:sz w:val="18"/>
                <w:szCs w:val="18"/>
              </w:rPr>
              <w:t>Совета</w:t>
            </w:r>
            <w:r>
              <w:rPr>
                <w:rFonts w:ascii="Arial" w:eastAsia="Calibri" w:hAnsi="Arial" w:cs="Times New Roman"/>
                <w:sz w:val="18"/>
              </w:rPr>
              <w:t xml:space="preserve"> директоров определяется с учетом важности вопросов повестки дня. Наиболее важные вопросы решаются на заседаниях, проводимых в очной форме</w:t>
            </w:r>
            <w:r>
              <w:rPr>
                <w:rFonts w:ascii="Arial" w:eastAsia="Calibri" w:hAnsi="Arial" w:cs="Arial"/>
                <w:sz w:val="18"/>
                <w:szCs w:val="18"/>
              </w:rPr>
              <w:t>.</w:t>
            </w:r>
          </w:p>
        </w:tc>
        <w:tc>
          <w:tcPr>
            <w:tcW w:w="3827" w:type="dxa"/>
          </w:tcPr>
          <w:p w:rsidR="00C81778" w:rsidRDefault="00AB0D4E">
            <w:pPr>
              <w:widowControl w:val="0"/>
              <w:spacing w:after="200" w:line="276" w:lineRule="auto"/>
              <w:ind w:left="28"/>
              <w:contextualSpacing/>
              <w:jc w:val="both"/>
              <w:rPr>
                <w:rFonts w:ascii="Arial" w:eastAsia="Calibri" w:hAnsi="Arial" w:cs="Times New Roman"/>
                <w:sz w:val="18"/>
              </w:rPr>
            </w:pPr>
            <w:r>
              <w:rPr>
                <w:rFonts w:ascii="Arial" w:eastAsia="Calibri" w:hAnsi="Arial" w:cs="Times New Roman"/>
                <w:sz w:val="18"/>
              </w:rPr>
              <w:t xml:space="preserve">1. Уставом или внутренним документом Общества предусмотрено, что наиболее важные вопросы (в том числе перечисленные в </w:t>
            </w:r>
            <w:hyperlink r:id="rId35" w:tooltip="consultantplus://offline/ref=C7B3893B3C99E3A2A15EAE82CAEBCD728FB0C474DB3CFE3DEDA91A1EAC8400A836D534127E64C19E4895D1816FD692AB35030D5C8C0EA0C205C0J" w:history="1">
              <w:r>
                <w:rPr>
                  <w:rFonts w:ascii="Arial" w:eastAsia="Calibri" w:hAnsi="Arial" w:cs="Times New Roman"/>
                  <w:sz w:val="18"/>
                </w:rPr>
                <w:t>рекомендации 168</w:t>
              </w:r>
            </w:hyperlink>
            <w:r>
              <w:rPr>
                <w:rFonts w:ascii="Arial" w:eastAsia="Calibri" w:hAnsi="Arial" w:cs="Times New Roman"/>
                <w:sz w:val="18"/>
              </w:rPr>
              <w:t xml:space="preserve"> Кодекса) должны рассматриваться на очных заседаниях Совета директоров.</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Частично соблюдается.</w:t>
            </w:r>
          </w:p>
        </w:tc>
        <w:tc>
          <w:tcPr>
            <w:tcW w:w="3966" w:type="dxa"/>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частично соблюдается.</w:t>
            </w:r>
          </w:p>
          <w:p w:rsidR="00C81778" w:rsidRDefault="00AB0D4E">
            <w:pPr>
              <w:widowControl w:val="0"/>
              <w:spacing w:after="200" w:line="276" w:lineRule="auto"/>
              <w:ind w:left="11" w:hanging="11"/>
              <w:jc w:val="both"/>
              <w:rPr>
                <w:rFonts w:ascii="Arial" w:eastAsia="Calibri" w:hAnsi="Arial" w:cs="Times New Roman"/>
                <w:sz w:val="18"/>
              </w:rPr>
            </w:pPr>
            <w:r>
              <w:rPr>
                <w:rFonts w:ascii="Arial" w:eastAsia="Calibri" w:hAnsi="Arial" w:cs="Times New Roman"/>
                <w:sz w:val="18"/>
              </w:rPr>
              <w:t>Уставом и внутренними документами Общества не предусмотрено, что все наиболее важные вопросы, в том числе перечисленные в рекомендации 168 Кодекса корпоративного управления, рекомендованного к применению Банком России, должны рассматриваться на очных заседаниях Совета директоров. Положением о Совете директоров ПАО «ОГК-2» предусмотрено, что форму проведения заседания Совета директоров определяет Председатель Совета директоров с учетом важности вопросов повестки дня. При этом установлено, что Совет директоров стремится рассматривать наиболее важные вопросы на заседаниях, проводимых в очной форме (при наличии возможности), в том числе вопросы, перечисленные в рекомендации 168 Кодекса.</w:t>
            </w:r>
          </w:p>
          <w:p w:rsidR="00C81778" w:rsidRDefault="00AB0D4E">
            <w:pPr>
              <w:widowControl w:val="0"/>
              <w:spacing w:after="200" w:line="276" w:lineRule="auto"/>
              <w:ind w:left="11" w:hanging="11"/>
              <w:jc w:val="both"/>
              <w:rPr>
                <w:rFonts w:ascii="Arial" w:eastAsia="Calibri" w:hAnsi="Arial" w:cs="Times New Roman"/>
                <w:sz w:val="18"/>
              </w:rPr>
            </w:pPr>
            <w:r>
              <w:rPr>
                <w:rFonts w:ascii="Arial" w:eastAsia="Calibri" w:hAnsi="Arial" w:cs="Times New Roman"/>
                <w:sz w:val="18"/>
              </w:rPr>
              <w:t xml:space="preserve">В качестве дополнительных мер в Обществе существует практика предварительного рассмотрения наиболее важных вопросов на заседаниях комитетов Совета директоров. Кроме того, (при наличии технической возможности) Обществом также может быть организована отсутствующим в месте проведения заседания членам Совета директоров возможность участия в обсуждении вопросов повестки дня дистанционно - посредством конференц- и </w:t>
            </w:r>
            <w:r>
              <w:rPr>
                <w:rFonts w:ascii="Arial" w:eastAsia="Calibri" w:hAnsi="Arial" w:cs="Times New Roman"/>
                <w:sz w:val="18"/>
              </w:rPr>
              <w:lastRenderedPageBreak/>
              <w:t>видеоконференцсвязи.</w:t>
            </w:r>
          </w:p>
          <w:p w:rsidR="00C81778" w:rsidRDefault="00AB0D4E">
            <w:pPr>
              <w:widowControl w:val="0"/>
              <w:spacing w:after="200" w:line="276" w:lineRule="auto"/>
              <w:ind w:left="11" w:hanging="11"/>
              <w:jc w:val="both"/>
              <w:rPr>
                <w:rFonts w:ascii="Arial" w:eastAsia="Calibri" w:hAnsi="Arial" w:cs="Times New Roman"/>
                <w:sz w:val="18"/>
              </w:rPr>
            </w:pPr>
            <w:r>
              <w:rPr>
                <w:rFonts w:ascii="Arial" w:eastAsia="Calibri" w:hAnsi="Arial" w:cs="Times New Roman"/>
                <w:sz w:val="18"/>
              </w:rPr>
              <w:t>Учитывая современный уровень развития средств связи и возможности удаленного взаимодействия членов Совета директоров, в том числе с использованием видеоконференцсвязи, Общество считает указанные положения внутренних документов оптимальными и планирует им следовать в среднесрочной перспективе.</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2.7.4</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Решения по наиболее важным вопросам деятельности </w:t>
            </w:r>
            <w:r>
              <w:rPr>
                <w:rFonts w:ascii="Arial" w:eastAsia="Calibri" w:hAnsi="Arial" w:cs="Arial"/>
                <w:sz w:val="18"/>
                <w:szCs w:val="18"/>
              </w:rPr>
              <w:t>Общества</w:t>
            </w:r>
            <w:r>
              <w:rPr>
                <w:rFonts w:ascii="Arial" w:eastAsia="Calibri" w:hAnsi="Arial" w:cs="Times New Roman"/>
                <w:sz w:val="18"/>
              </w:rPr>
              <w:t xml:space="preserve"> принимаются на заседании </w:t>
            </w:r>
            <w:r>
              <w:rPr>
                <w:rFonts w:ascii="Arial" w:eastAsia="Calibri" w:hAnsi="Arial" w:cs="Arial"/>
                <w:sz w:val="18"/>
                <w:szCs w:val="18"/>
              </w:rPr>
              <w:t>Совета</w:t>
            </w:r>
            <w:r>
              <w:rPr>
                <w:rFonts w:ascii="Arial" w:eastAsia="Calibri" w:hAnsi="Arial" w:cs="Times New Roman"/>
                <w:sz w:val="18"/>
              </w:rPr>
              <w:t xml:space="preserve"> директоров квалифицированным большинством или большинством голосов всех избранных членов </w:t>
            </w:r>
            <w:r>
              <w:rPr>
                <w:rFonts w:ascii="Arial" w:eastAsia="Calibri" w:hAnsi="Arial" w:cs="Arial"/>
                <w:sz w:val="18"/>
                <w:szCs w:val="18"/>
              </w:rPr>
              <w:t>Совета</w:t>
            </w:r>
            <w:r>
              <w:rPr>
                <w:rFonts w:ascii="Arial" w:eastAsia="Calibri" w:hAnsi="Arial" w:cs="Times New Roman"/>
                <w:sz w:val="18"/>
              </w:rPr>
              <w:t xml:space="preserve"> директоров</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67"/>
              </w:numPr>
              <w:tabs>
                <w:tab w:val="left" w:pos="28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 xml:space="preserve">Уставом Общества предусмотрено, что решения по наиболее важным вопросам, в том числе изложенным в </w:t>
            </w:r>
            <w:hyperlink r:id="rId36" w:tooltip="consultantplus://offline/ref=C7B3893B3C99E3A2A15EAE82CAEBCD728FB0C474DB3CFE3DEDA91A1EAC8400A836D534127E64C19C4295D1816FD692AB35030D5C8C0EA0C205C0J" w:history="1">
              <w:r>
                <w:rPr>
                  <w:rFonts w:ascii="Arial" w:eastAsia="Calibri" w:hAnsi="Arial" w:cs="Times New Roman"/>
                  <w:sz w:val="18"/>
                </w:rPr>
                <w:t>рекомендации 170</w:t>
              </w:r>
            </w:hyperlink>
            <w:r>
              <w:rPr>
                <w:rFonts w:ascii="Arial" w:eastAsia="Calibri" w:hAnsi="Arial" w:cs="Times New Roman"/>
                <w:sz w:val="18"/>
              </w:rPr>
              <w:t xml:space="preserve"> Кодекса, должны приниматься на заседании Совета директоров квалифицированным большинством, не менее чем в 3/4 голосов, или же большинством голосов всех избранных членов Совета директоров.</w:t>
            </w:r>
          </w:p>
          <w:p w:rsidR="00C81778" w:rsidRDefault="00C81778">
            <w:pPr>
              <w:widowControl w:val="0"/>
              <w:tabs>
                <w:tab w:val="left" w:pos="285"/>
              </w:tabs>
              <w:spacing w:after="0" w:line="240" w:lineRule="auto"/>
              <w:contextualSpacing/>
              <w:jc w:val="both"/>
              <w:rPr>
                <w:rFonts w:ascii="Arial" w:eastAsia="Calibri" w:hAnsi="Arial" w:cs="Times New Roman"/>
                <w:sz w:val="18"/>
              </w:rPr>
            </w:pPr>
          </w:p>
          <w:p w:rsidR="00C81778" w:rsidRDefault="00C81778">
            <w:pPr>
              <w:spacing w:after="0" w:line="240" w:lineRule="auto"/>
              <w:rPr>
                <w:rFonts w:ascii="Arial" w:eastAsia="Calibri" w:hAnsi="Arial" w:cs="Times New Roman"/>
                <w:sz w:val="18"/>
              </w:rPr>
            </w:pP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w:t>
            </w:r>
            <w:r>
              <w:rPr>
                <w:rFonts w:ascii="Arial" w:eastAsia="Calibri" w:hAnsi="Arial" w:cs="Times New Roman"/>
                <w:sz w:val="18"/>
              </w:rPr>
              <w:t>облюдается</w:t>
            </w: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соблюдается.</w:t>
            </w:r>
          </w:p>
          <w:p w:rsidR="00C81778" w:rsidRDefault="00C81778">
            <w:pPr>
              <w:widowControl w:val="0"/>
              <w:spacing w:after="200" w:line="276" w:lineRule="auto"/>
              <w:jc w:val="both"/>
              <w:rPr>
                <w:rFonts w:ascii="Arial" w:eastAsia="Calibri" w:hAnsi="Arial" w:cs="Times New Roman"/>
                <w:sz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2.8</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Совет директоров создает комитеты для предварительного рассмотрения наиболее важных вопросов деятельности </w:t>
            </w:r>
            <w:r>
              <w:rPr>
                <w:rFonts w:ascii="Arial" w:eastAsia="Calibri" w:hAnsi="Arial" w:cs="Arial"/>
                <w:b/>
                <w:sz w:val="18"/>
                <w:szCs w:val="18"/>
              </w:rPr>
              <w:t>Общества.</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2.8.1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Для предварительного рассмотрения вопросов, связанных с контролем за финансово-хозяйственной деятельностью </w:t>
            </w:r>
            <w:r>
              <w:rPr>
                <w:rFonts w:ascii="Arial" w:eastAsia="Times New Roman" w:hAnsi="Arial" w:cs="Arial"/>
                <w:sz w:val="18"/>
                <w:szCs w:val="18"/>
              </w:rPr>
              <w:t>Общества</w:t>
            </w:r>
            <w:r>
              <w:rPr>
                <w:rFonts w:ascii="Arial" w:eastAsia="Calibri" w:hAnsi="Arial" w:cs="Times New Roman"/>
                <w:sz w:val="18"/>
              </w:rPr>
              <w:t>, создан комитет по аудиту, состоящий из независимых директоров</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68"/>
              </w:numPr>
              <w:tabs>
                <w:tab w:val="left" w:pos="27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Совет директоров сформировал комитет по аудиту, состоящий исключительно из независимых директоров.</w:t>
            </w:r>
          </w:p>
          <w:p w:rsidR="00C81778" w:rsidRDefault="00AB0D4E" w:rsidP="00AB0D4E">
            <w:pPr>
              <w:widowControl w:val="0"/>
              <w:numPr>
                <w:ilvl w:val="0"/>
                <w:numId w:val="69"/>
              </w:numPr>
              <w:tabs>
                <w:tab w:val="left" w:pos="27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Во внутренних документах </w:t>
            </w:r>
            <w:r>
              <w:rPr>
                <w:rFonts w:ascii="Arial" w:eastAsia="Times New Roman" w:hAnsi="Arial" w:cs="Arial"/>
                <w:sz w:val="18"/>
                <w:szCs w:val="18"/>
              </w:rPr>
              <w:t>Общества</w:t>
            </w:r>
            <w:r>
              <w:rPr>
                <w:rFonts w:ascii="Arial" w:eastAsia="Calibri" w:hAnsi="Arial" w:cs="Times New Roman"/>
                <w:sz w:val="18"/>
              </w:rPr>
              <w:t xml:space="preserve"> определены задачи комитета по аудиту, в том числе</w:t>
            </w:r>
            <w:r>
              <w:rPr>
                <w:rFonts w:ascii="Arial" w:eastAsia="Times New Roman" w:hAnsi="Arial" w:cs="Arial"/>
                <w:sz w:val="18"/>
                <w:szCs w:val="18"/>
              </w:rPr>
              <w:t>,</w:t>
            </w:r>
            <w:r>
              <w:rPr>
                <w:rFonts w:ascii="Arial" w:eastAsia="Calibri" w:hAnsi="Arial" w:cs="Times New Roman"/>
                <w:sz w:val="18"/>
              </w:rPr>
              <w:t xml:space="preserve"> задачи, содержащиеся в </w:t>
            </w:r>
            <w:hyperlink r:id="rId37" w:tooltip="consultantplus://offline/ref=C7B3893B3C99E3A2A15EAE82CAEBCD728FB0C474DB3CFE3DEDA91A1EAC8400A836D534127E64C1924895D1816FD692AB35030D5C8C0EA0C205C0J" w:history="1">
              <w:r>
                <w:rPr>
                  <w:rFonts w:ascii="Arial" w:eastAsia="Calibri" w:hAnsi="Arial" w:cs="Times New Roman"/>
                  <w:sz w:val="18"/>
                </w:rPr>
                <w:t>рекомендации 172</w:t>
              </w:r>
            </w:hyperlink>
            <w:r>
              <w:rPr>
                <w:rFonts w:ascii="Arial" w:eastAsia="Calibri" w:hAnsi="Arial" w:cs="Times New Roman"/>
                <w:sz w:val="18"/>
              </w:rPr>
              <w:t xml:space="preserve"> Кодекса.</w:t>
            </w:r>
          </w:p>
          <w:p w:rsidR="00C81778" w:rsidRDefault="00AB0D4E" w:rsidP="00AB0D4E">
            <w:pPr>
              <w:widowControl w:val="0"/>
              <w:numPr>
                <w:ilvl w:val="0"/>
                <w:numId w:val="70"/>
              </w:numPr>
              <w:tabs>
                <w:tab w:val="left" w:pos="27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По крайней мере, один член комитета по аудиту, являющийся независимым директором, обладает опытом и знаниями в области подготовки, анализа, оценки и аудита бухгалтерской (финансовой) отчетности.</w:t>
            </w:r>
          </w:p>
          <w:p w:rsidR="00C81778" w:rsidRDefault="00AB0D4E" w:rsidP="00AB0D4E">
            <w:pPr>
              <w:widowControl w:val="0"/>
              <w:numPr>
                <w:ilvl w:val="0"/>
                <w:numId w:val="71"/>
              </w:numPr>
              <w:tabs>
                <w:tab w:val="left" w:pos="27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Заседания комитета по аудиту проводились не реже одного раза в квартал в течение отчетного периода</w:t>
            </w:r>
            <w:r>
              <w:rPr>
                <w:rFonts w:ascii="Arial" w:eastAsia="Times New Roman" w:hAnsi="Arial" w:cs="Arial"/>
                <w:sz w:val="18"/>
                <w:szCs w:val="18"/>
              </w:rPr>
              <w:t>.</w:t>
            </w:r>
          </w:p>
        </w:tc>
        <w:tc>
          <w:tcPr>
            <w:tcW w:w="2692"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Times New Roman" w:hAnsi="Arial" w:cs="Arial"/>
                <w:sz w:val="18"/>
                <w:szCs w:val="18"/>
              </w:rPr>
              <w:t>Частично</w:t>
            </w:r>
            <w:r>
              <w:rPr>
                <w:rFonts w:ascii="Arial" w:eastAsia="Calibri" w:hAnsi="Arial" w:cs="Times New Roman"/>
                <w:sz w:val="18"/>
              </w:rPr>
              <w:t xml:space="preserve"> соблюдается</w:t>
            </w:r>
            <w:r>
              <w:rPr>
                <w:rFonts w:ascii="Arial" w:eastAsia="Times New Roman" w:hAnsi="Arial" w:cs="Arial"/>
                <w:sz w:val="18"/>
                <w:szCs w:val="18"/>
              </w:rPr>
              <w:t>.</w:t>
            </w:r>
          </w:p>
          <w:p w:rsidR="00C81778" w:rsidRDefault="00C81778">
            <w:pPr>
              <w:widowControl w:val="0"/>
              <w:spacing w:after="0" w:line="240" w:lineRule="auto"/>
              <w:contextualSpacing/>
              <w:rPr>
                <w:rFonts w:ascii="Arial" w:eastAsia="Calibri" w:hAnsi="Arial" w:cs="Times New Roman"/>
                <w:sz w:val="18"/>
              </w:rPr>
            </w:pP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частично соблюдается.</w:t>
            </w:r>
          </w:p>
          <w:p w:rsidR="00C81778" w:rsidRDefault="00C81778">
            <w:pPr>
              <w:widowControl w:val="0"/>
              <w:spacing w:after="200" w:line="276" w:lineRule="auto"/>
              <w:ind w:left="34"/>
              <w:contextualSpacing/>
              <w:jc w:val="both"/>
              <w:rPr>
                <w:rFonts w:ascii="Arial" w:eastAsia="Times New Roman" w:hAnsi="Arial" w:cs="Arial"/>
                <w:sz w:val="18"/>
                <w:szCs w:val="18"/>
              </w:rPr>
            </w:pPr>
          </w:p>
          <w:p w:rsidR="00C81778" w:rsidRDefault="00AB0D4E">
            <w:pPr>
              <w:widowControl w:val="0"/>
              <w:spacing w:after="200" w:line="276" w:lineRule="auto"/>
              <w:ind w:left="34"/>
              <w:contextualSpacing/>
              <w:jc w:val="both"/>
              <w:rPr>
                <w:rFonts w:ascii="Arial" w:eastAsia="Times New Roman" w:hAnsi="Arial" w:cs="Arial"/>
                <w:sz w:val="18"/>
                <w:szCs w:val="18"/>
              </w:rPr>
            </w:pPr>
            <w:r>
              <w:rPr>
                <w:rFonts w:ascii="Arial" w:eastAsia="Times New Roman" w:hAnsi="Arial" w:cs="Arial"/>
                <w:sz w:val="18"/>
                <w:szCs w:val="18"/>
              </w:rPr>
              <w:t>Поскольку в соответствии с Положением о Комитете Совета директоров по аудиту ПАО «ОГК-2» минимальное количество членов Комитета составляет 3 человека, то на данный момент сформировать Комитет Совета директоров по аудиту ПАО «ОГК-2» исключительно из независимых директоров не представляется возможным. При этом, Общество предпринимает усилия для обеспечения выполнения данного критерия и при направлении акционерам запросов о предоставлении кандидатур для избрания в состав Совета директоров ПАО «ОГК-2», обращает внимание, на то, что представленные кандидаты должны удовлетворять требованиям Кодекса.</w:t>
            </w:r>
          </w:p>
          <w:p w:rsidR="00C81778" w:rsidRDefault="00AB0D4E">
            <w:pPr>
              <w:widowControl w:val="0"/>
              <w:spacing w:after="200" w:line="276" w:lineRule="auto"/>
              <w:ind w:left="34"/>
              <w:contextualSpacing/>
              <w:jc w:val="both"/>
              <w:rPr>
                <w:rFonts w:ascii="Arial" w:eastAsia="Times New Roman" w:hAnsi="Arial" w:cs="Arial"/>
                <w:sz w:val="18"/>
                <w:szCs w:val="18"/>
              </w:rPr>
            </w:pPr>
            <w:r>
              <w:rPr>
                <w:rFonts w:ascii="Arial" w:eastAsia="Times New Roman" w:hAnsi="Arial" w:cs="Arial"/>
                <w:sz w:val="18"/>
                <w:szCs w:val="18"/>
              </w:rPr>
              <w:t xml:space="preserve">В то же время председателем Комитета </w:t>
            </w:r>
            <w:r>
              <w:rPr>
                <w:rFonts w:ascii="Arial" w:eastAsia="Times New Roman" w:hAnsi="Arial" w:cs="Arial"/>
                <w:sz w:val="18"/>
                <w:szCs w:val="18"/>
              </w:rPr>
              <w:lastRenderedPageBreak/>
              <w:t>Совета директоров по аудиту ПАО «ОГК-2» является независимый директор.</w:t>
            </w:r>
          </w:p>
          <w:p w:rsidR="00C81778" w:rsidRDefault="00AB0D4E">
            <w:pPr>
              <w:widowControl w:val="0"/>
              <w:spacing w:after="200" w:line="276" w:lineRule="auto"/>
              <w:ind w:left="34"/>
              <w:contextualSpacing/>
              <w:jc w:val="both"/>
              <w:rPr>
                <w:rFonts w:ascii="Arial" w:eastAsia="Times New Roman" w:hAnsi="Arial" w:cs="Arial"/>
                <w:sz w:val="18"/>
                <w:szCs w:val="18"/>
              </w:rPr>
            </w:pPr>
            <w:r>
              <w:rPr>
                <w:rFonts w:ascii="Arial" w:eastAsia="Times New Roman" w:hAnsi="Arial" w:cs="Arial"/>
                <w:sz w:val="18"/>
                <w:szCs w:val="18"/>
              </w:rPr>
              <w:t>В 2024 г. Общество планирует организовать взаимодействие с акционерами, направленное на объяснение необходимости наличия достаточного количества независимых директоров в составе Совета директоров Общества.</w:t>
            </w:r>
          </w:p>
          <w:p w:rsidR="00C81778" w:rsidRDefault="00C81778">
            <w:pPr>
              <w:widowControl w:val="0"/>
              <w:spacing w:after="200" w:line="276" w:lineRule="auto"/>
              <w:ind w:left="34"/>
              <w:contextualSpacing/>
              <w:jc w:val="both"/>
              <w:rPr>
                <w:rFonts w:ascii="Arial" w:eastAsia="Times New Roman" w:hAnsi="Arial" w:cs="Arial"/>
                <w:sz w:val="18"/>
                <w:szCs w:val="18"/>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соблюдается.</w:t>
            </w: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3: соблюдается.</w:t>
            </w: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4: соблюдается.</w:t>
            </w:r>
          </w:p>
          <w:p w:rsidR="00C81778" w:rsidRDefault="00C81778">
            <w:pPr>
              <w:widowControl w:val="0"/>
              <w:spacing w:after="200" w:line="276" w:lineRule="auto"/>
              <w:ind w:left="34"/>
              <w:contextualSpacing/>
              <w:jc w:val="both"/>
              <w:rPr>
                <w:rFonts w:ascii="Arial" w:eastAsia="Times New Roman" w:hAnsi="Arial" w:cs="Arial"/>
                <w:sz w:val="18"/>
                <w:szCs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2.8.2</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Для предварительного рассмотрения вопросов, связанных с формированием эффективной и прозрачной практики вознаграждения, создан комитет по вознаграждениям, состоящий из независимых директоров и возглавляемый независимым директором, не являющимся председателем </w:t>
            </w:r>
            <w:r>
              <w:rPr>
                <w:rFonts w:ascii="Arial" w:eastAsia="Times New Roman" w:hAnsi="Arial" w:cs="Arial"/>
                <w:sz w:val="18"/>
                <w:szCs w:val="18"/>
              </w:rPr>
              <w:t>Совета</w:t>
            </w:r>
            <w:r>
              <w:rPr>
                <w:rFonts w:ascii="Arial" w:eastAsia="Calibri" w:hAnsi="Arial" w:cs="Times New Roman"/>
                <w:sz w:val="18"/>
              </w:rPr>
              <w:t xml:space="preserve"> директоров</w:t>
            </w:r>
            <w:r>
              <w:rPr>
                <w:rFonts w:ascii="Arial" w:eastAsia="Times New Roman" w:hAnsi="Arial" w:cs="Arial"/>
                <w:sz w:val="18"/>
                <w:szCs w:val="18"/>
              </w:rPr>
              <w:t>.</w:t>
            </w:r>
          </w:p>
        </w:tc>
        <w:tc>
          <w:tcPr>
            <w:tcW w:w="3827" w:type="dxa"/>
          </w:tcPr>
          <w:p w:rsidR="00C81778" w:rsidRDefault="00AB0D4E" w:rsidP="00AB0D4E">
            <w:pPr>
              <w:widowControl w:val="0"/>
              <w:numPr>
                <w:ilvl w:val="0"/>
                <w:numId w:val="72"/>
              </w:numPr>
              <w:tabs>
                <w:tab w:val="left" w:pos="27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Советом директоров создан комитет по вознаграждениям, который состоит только из независимых директоров.</w:t>
            </w:r>
          </w:p>
          <w:p w:rsidR="00C81778" w:rsidRDefault="00AB0D4E" w:rsidP="00AB0D4E">
            <w:pPr>
              <w:widowControl w:val="0"/>
              <w:numPr>
                <w:ilvl w:val="0"/>
                <w:numId w:val="73"/>
              </w:numPr>
              <w:tabs>
                <w:tab w:val="left" w:pos="27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 xml:space="preserve">Председателем комитета по вознаграждениям является независимый директор, который не является председателем </w:t>
            </w:r>
            <w:r>
              <w:rPr>
                <w:rFonts w:ascii="Arial" w:eastAsia="Times New Roman" w:hAnsi="Arial" w:cs="Arial"/>
                <w:sz w:val="18"/>
                <w:szCs w:val="18"/>
              </w:rPr>
              <w:t>Совета</w:t>
            </w:r>
            <w:r>
              <w:rPr>
                <w:rFonts w:ascii="Arial" w:eastAsia="Calibri" w:hAnsi="Arial" w:cs="Times New Roman"/>
                <w:sz w:val="18"/>
              </w:rPr>
              <w:t xml:space="preserve"> директоров</w:t>
            </w:r>
            <w:r>
              <w:rPr>
                <w:rFonts w:ascii="Arial" w:eastAsia="Times New Roman" w:hAnsi="Arial" w:cs="Arial"/>
                <w:sz w:val="18"/>
                <w:szCs w:val="18"/>
              </w:rPr>
              <w:t>.</w:t>
            </w:r>
          </w:p>
          <w:p w:rsidR="00C81778" w:rsidRDefault="00AB0D4E" w:rsidP="00AB0D4E">
            <w:pPr>
              <w:widowControl w:val="0"/>
              <w:numPr>
                <w:ilvl w:val="0"/>
                <w:numId w:val="74"/>
              </w:numPr>
              <w:tabs>
                <w:tab w:val="left" w:pos="27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 xml:space="preserve">Во внутренних документах </w:t>
            </w:r>
            <w:r>
              <w:rPr>
                <w:rFonts w:ascii="Arial" w:eastAsia="Times New Roman" w:hAnsi="Arial" w:cs="Arial"/>
                <w:sz w:val="18"/>
                <w:szCs w:val="18"/>
              </w:rPr>
              <w:t>Общества</w:t>
            </w:r>
            <w:r>
              <w:rPr>
                <w:rFonts w:ascii="Arial" w:eastAsia="Calibri" w:hAnsi="Arial" w:cs="Times New Roman"/>
                <w:sz w:val="18"/>
              </w:rPr>
              <w:t xml:space="preserve"> определены задачи комитета по вознаграждениям, включая в том числе задачи, содержащиеся в </w:t>
            </w:r>
            <w:r>
              <w:rPr>
                <w:rFonts w:ascii="Arial" w:eastAsia="Times New Roman" w:hAnsi="Arial" w:cs="Arial"/>
                <w:sz w:val="18"/>
                <w:szCs w:val="18"/>
              </w:rPr>
              <w:t>рекомендации 180</w:t>
            </w:r>
            <w:r>
              <w:rPr>
                <w:rFonts w:ascii="Arial" w:eastAsia="Calibri" w:hAnsi="Arial" w:cs="Times New Roman"/>
                <w:sz w:val="18"/>
              </w:rPr>
              <w:t xml:space="preserve"> Кодекса</w:t>
            </w:r>
            <w:r>
              <w:rPr>
                <w:rFonts w:eastAsia="Calibri" w:cs="Times New Roman"/>
              </w:rPr>
              <w:t xml:space="preserve">, </w:t>
            </w:r>
            <w:r>
              <w:rPr>
                <w:rFonts w:ascii="Arial" w:eastAsia="Calibri" w:hAnsi="Arial" w:cs="Times New Roman"/>
                <w:sz w:val="18"/>
              </w:rPr>
              <w:t>а также условия (события), при наступлении которых комитет по вознаграждениям рассматривает вопрос о пересмотре политики Общества по вознаграждению членов Совета директоров, исполнительных органов и иных ключевых руководящих работников.</w:t>
            </w:r>
          </w:p>
          <w:p w:rsidR="00C81778" w:rsidRDefault="00C81778">
            <w:pPr>
              <w:widowControl w:val="0"/>
              <w:tabs>
                <w:tab w:val="left" w:pos="270"/>
              </w:tabs>
              <w:spacing w:after="0" w:line="240" w:lineRule="auto"/>
              <w:contextualSpacing/>
              <w:jc w:val="both"/>
              <w:rPr>
                <w:rFonts w:ascii="Arial" w:eastAsia="Calibri" w:hAnsi="Arial" w:cs="Times New Roman"/>
                <w:sz w:val="18"/>
              </w:rPr>
            </w:pPr>
          </w:p>
          <w:p w:rsidR="00C81778" w:rsidRDefault="00C81778">
            <w:pPr>
              <w:widowControl w:val="0"/>
              <w:tabs>
                <w:tab w:val="left" w:pos="270"/>
              </w:tabs>
              <w:spacing w:after="0" w:line="240" w:lineRule="auto"/>
              <w:contextualSpacing/>
              <w:jc w:val="both"/>
              <w:rPr>
                <w:rFonts w:ascii="Arial" w:eastAsia="Calibri" w:hAnsi="Arial" w:cs="Times New Roman"/>
                <w:sz w:val="18"/>
              </w:rPr>
            </w:pPr>
          </w:p>
          <w:p w:rsidR="00C81778" w:rsidRDefault="00C81778">
            <w:pPr>
              <w:spacing w:after="0" w:line="240" w:lineRule="auto"/>
              <w:rPr>
                <w:rFonts w:ascii="Arial" w:eastAsia="Calibri" w:hAnsi="Arial" w:cs="Times New Roman"/>
                <w:sz w:val="18"/>
              </w:rPr>
            </w:pPr>
          </w:p>
        </w:tc>
        <w:tc>
          <w:tcPr>
            <w:tcW w:w="2692" w:type="dxa"/>
          </w:tcPr>
          <w:p w:rsidR="00C81778" w:rsidRDefault="00AB0D4E">
            <w:pPr>
              <w:widowControl w:val="0"/>
              <w:spacing w:after="0" w:line="240" w:lineRule="auto"/>
              <w:contextualSpacing/>
              <w:rPr>
                <w:rFonts w:ascii="Arial" w:eastAsia="Calibri" w:hAnsi="Arial" w:cs="Times New Roman"/>
                <w:sz w:val="18"/>
              </w:rPr>
            </w:pPr>
            <w:r>
              <w:rPr>
                <w:rFonts w:ascii="Arial" w:eastAsia="Times New Roman" w:hAnsi="Arial" w:cs="Arial"/>
                <w:sz w:val="18"/>
                <w:szCs w:val="18"/>
              </w:rPr>
              <w:t>Частично</w:t>
            </w:r>
            <w:r>
              <w:rPr>
                <w:rFonts w:ascii="Arial" w:eastAsia="Calibri" w:hAnsi="Arial" w:cs="Times New Roman"/>
                <w:sz w:val="18"/>
              </w:rPr>
              <w:t xml:space="preserve"> соблюдается</w:t>
            </w:r>
            <w:r>
              <w:rPr>
                <w:rFonts w:ascii="Arial" w:eastAsia="Times New Roman" w:hAnsi="Arial" w:cs="Arial"/>
                <w:sz w:val="18"/>
                <w:szCs w:val="18"/>
              </w:rPr>
              <w:t>.</w:t>
            </w:r>
          </w:p>
          <w:p w:rsidR="00C81778" w:rsidRDefault="00C81778">
            <w:pPr>
              <w:widowControl w:val="0"/>
              <w:spacing w:after="0" w:line="240" w:lineRule="auto"/>
              <w:ind w:left="357"/>
              <w:contextualSpacing/>
              <w:rPr>
                <w:rFonts w:ascii="Arial" w:eastAsia="Calibri" w:hAnsi="Arial" w:cs="Times New Roman"/>
                <w:sz w:val="18"/>
              </w:rPr>
            </w:pPr>
          </w:p>
        </w:tc>
        <w:tc>
          <w:tcPr>
            <w:tcW w:w="3966" w:type="dxa"/>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не соблюдается.</w:t>
            </w:r>
          </w:p>
          <w:p w:rsidR="00C81778" w:rsidRDefault="00AB0D4E">
            <w:pPr>
              <w:widowControl w:val="0"/>
              <w:spacing w:after="200" w:line="276" w:lineRule="auto"/>
              <w:ind w:left="34"/>
              <w:contextualSpacing/>
              <w:jc w:val="both"/>
              <w:rPr>
                <w:rFonts w:ascii="Arial" w:eastAsia="Times New Roman" w:hAnsi="Arial" w:cs="Arial"/>
                <w:sz w:val="18"/>
                <w:szCs w:val="18"/>
              </w:rPr>
            </w:pPr>
            <w:r>
              <w:rPr>
                <w:rFonts w:ascii="Arial" w:eastAsia="Times New Roman" w:hAnsi="Arial" w:cs="Arial"/>
                <w:sz w:val="18"/>
                <w:szCs w:val="18"/>
              </w:rPr>
              <w:t xml:space="preserve">Комитет Совета директоров по кадрам и вознаграждениям ПАО «ОГК-2» создан 06.08.2007 решением Совета директоров ПАО «ОГК-2» (протокол №79/79 от 08.08.2007). В отчетном году действовало два состава Комитета по кадрам и вознаграждениям. </w:t>
            </w:r>
          </w:p>
          <w:p w:rsidR="00C81778" w:rsidRDefault="00AB0D4E">
            <w:pPr>
              <w:widowControl w:val="0"/>
              <w:spacing w:after="200" w:line="276" w:lineRule="auto"/>
              <w:ind w:left="34"/>
              <w:contextualSpacing/>
              <w:jc w:val="both"/>
              <w:rPr>
                <w:rFonts w:ascii="Arial" w:eastAsia="Times New Roman" w:hAnsi="Arial" w:cs="Arial"/>
                <w:sz w:val="18"/>
                <w:szCs w:val="18"/>
              </w:rPr>
            </w:pPr>
            <w:r>
              <w:rPr>
                <w:rFonts w:ascii="Arial" w:eastAsia="Times New Roman" w:hAnsi="Arial" w:cs="Arial"/>
                <w:sz w:val="18"/>
                <w:szCs w:val="18"/>
              </w:rPr>
              <w:t>Поскольку в соответствии с Положением о Комитете Совета директоров по кадрам и вознаграждениям ПАО «ОГК-2» минимальное количество членов Комитета составляет 3 человека, то на данный момент сформировать Комитет Совета директоров по кадрам и вознаграждениям исключительно из независимых директоров не представляется возможным. При этом, Общество предпринимает усилия для обеспечения выполнения данного критерия и при направлении акционерам запросов о предоставлении кандидатур для избрания в состав Совета директоров ПАО «ОГК-2», обращает внимание, на то, что представленные кандидаты должны удовлетворять требованиям Кодекса.</w:t>
            </w:r>
          </w:p>
          <w:p w:rsidR="00C81778" w:rsidRDefault="00AB0D4E">
            <w:pPr>
              <w:widowControl w:val="0"/>
              <w:tabs>
                <w:tab w:val="left" w:pos="176"/>
                <w:tab w:val="left" w:pos="470"/>
              </w:tabs>
              <w:spacing w:after="0" w:line="240" w:lineRule="auto"/>
              <w:contextualSpacing/>
              <w:jc w:val="both"/>
              <w:rPr>
                <w:rFonts w:ascii="Arial" w:eastAsia="Times New Roman" w:hAnsi="Arial" w:cs="Arial"/>
                <w:sz w:val="18"/>
                <w:szCs w:val="18"/>
              </w:rPr>
            </w:pPr>
            <w:r>
              <w:rPr>
                <w:rFonts w:ascii="Arial" w:eastAsia="Times New Roman" w:hAnsi="Arial" w:cs="Arial"/>
                <w:sz w:val="18"/>
                <w:szCs w:val="18"/>
              </w:rPr>
              <w:t xml:space="preserve">В 2024 г. Общество планирует организовать взаимодействие с акционерами, </w:t>
            </w:r>
            <w:r>
              <w:rPr>
                <w:rFonts w:ascii="Arial" w:eastAsia="Times New Roman" w:hAnsi="Arial" w:cs="Arial"/>
                <w:sz w:val="18"/>
                <w:szCs w:val="18"/>
              </w:rPr>
              <w:lastRenderedPageBreak/>
              <w:t>направленное на объяснение необходимости наличия достаточного количества независимых директоров в составе Совета директоров Общества.</w:t>
            </w:r>
          </w:p>
          <w:p w:rsidR="00C81778" w:rsidRDefault="00C81778">
            <w:pPr>
              <w:widowControl w:val="0"/>
              <w:tabs>
                <w:tab w:val="left" w:pos="176"/>
                <w:tab w:val="left" w:pos="470"/>
              </w:tabs>
              <w:spacing w:after="0" w:line="240" w:lineRule="auto"/>
              <w:ind w:left="29"/>
              <w:contextualSpacing/>
              <w:jc w:val="both"/>
              <w:rPr>
                <w:rFonts w:ascii="Arial" w:eastAsia="Times New Roman" w:hAnsi="Arial" w:cs="Arial"/>
                <w:sz w:val="18"/>
                <w:szCs w:val="18"/>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частично соблюдается.</w:t>
            </w:r>
          </w:p>
          <w:p w:rsidR="00C81778" w:rsidRDefault="00AB0D4E">
            <w:pPr>
              <w:widowControl w:val="0"/>
              <w:tabs>
                <w:tab w:val="left" w:pos="176"/>
              </w:tabs>
              <w:spacing w:after="200" w:line="276" w:lineRule="auto"/>
              <w:jc w:val="both"/>
              <w:rPr>
                <w:rFonts w:ascii="Arial" w:eastAsia="Times New Roman" w:hAnsi="Arial" w:cs="Arial"/>
                <w:sz w:val="18"/>
                <w:szCs w:val="18"/>
                <w:lang w:eastAsia="ar-SA"/>
              </w:rPr>
            </w:pPr>
            <w:r>
              <w:rPr>
                <w:rFonts w:ascii="Arial" w:eastAsia="Times New Roman" w:hAnsi="Arial" w:cs="Arial"/>
                <w:sz w:val="18"/>
                <w:szCs w:val="18"/>
                <w:lang w:eastAsia="ar-SA"/>
              </w:rPr>
              <w:t xml:space="preserve">Председатель Комитета </w:t>
            </w:r>
            <w:r>
              <w:rPr>
                <w:rFonts w:ascii="Arial" w:eastAsia="Times New Roman" w:hAnsi="Arial" w:cs="Arial"/>
                <w:sz w:val="18"/>
                <w:szCs w:val="18"/>
              </w:rPr>
              <w:t>Совета директоров по кадрам и вознаграждениям ПАО «ОГК-2»</w:t>
            </w:r>
            <w:r>
              <w:rPr>
                <w:rFonts w:ascii="Arial" w:eastAsia="Times New Roman" w:hAnsi="Arial" w:cs="Arial"/>
                <w:sz w:val="18"/>
                <w:szCs w:val="18"/>
                <w:lang w:eastAsia="ar-SA"/>
              </w:rPr>
              <w:t xml:space="preserve"> не является председателем Совета директоров Общества, при этом он не обладает статусом независимого директора. Председатель Комитета избирается из числа членов Комитета решением Совета директоров.</w:t>
            </w:r>
          </w:p>
          <w:p w:rsidR="00C81778" w:rsidRDefault="00AB0D4E">
            <w:pPr>
              <w:widowControl w:val="0"/>
              <w:tabs>
                <w:tab w:val="left" w:pos="176"/>
              </w:tabs>
              <w:spacing w:after="200" w:line="276" w:lineRule="auto"/>
              <w:jc w:val="both"/>
              <w:rPr>
                <w:rFonts w:ascii="Arial" w:eastAsia="Times New Roman" w:hAnsi="Arial" w:cs="Arial"/>
                <w:sz w:val="18"/>
                <w:szCs w:val="18"/>
                <w:lang w:eastAsia="ar-SA"/>
              </w:rPr>
            </w:pPr>
            <w:r>
              <w:rPr>
                <w:rFonts w:ascii="Arial" w:eastAsia="Times New Roman" w:hAnsi="Arial" w:cs="Arial"/>
                <w:sz w:val="18"/>
                <w:szCs w:val="18"/>
                <w:lang w:eastAsia="ar-SA"/>
              </w:rPr>
              <w:t>В существующих условиях назначение независимого директора председателем всех комитетов не представляется возможным, т.к. это повлечет возложение на него повышенной нагрузки.</w:t>
            </w:r>
          </w:p>
          <w:p w:rsidR="00C81778" w:rsidRDefault="00AB0D4E">
            <w:pPr>
              <w:widowControl w:val="0"/>
              <w:tabs>
                <w:tab w:val="left" w:pos="176"/>
              </w:tabs>
              <w:spacing w:after="200" w:line="276" w:lineRule="auto"/>
              <w:jc w:val="both"/>
              <w:rPr>
                <w:rFonts w:ascii="Arial" w:eastAsia="Times New Roman" w:hAnsi="Arial" w:cs="Arial"/>
                <w:sz w:val="18"/>
                <w:szCs w:val="18"/>
              </w:rPr>
            </w:pPr>
            <w:r>
              <w:rPr>
                <w:rFonts w:ascii="Arial" w:eastAsia="Times New Roman" w:hAnsi="Arial" w:cs="Arial"/>
                <w:sz w:val="18"/>
                <w:szCs w:val="18"/>
                <w:lang w:eastAsia="ar-SA"/>
              </w:rPr>
              <w:t>Общество планирует в 2024 г. рассмотреть возможность применения данной практики</w:t>
            </w:r>
            <w:r>
              <w:rPr>
                <w:rFonts w:ascii="Times New Roman" w:eastAsia="Times New Roman" w:hAnsi="Times New Roman" w:cs="Times New Roman"/>
                <w:sz w:val="18"/>
                <w:szCs w:val="18"/>
                <w:lang w:eastAsia="ar-SA"/>
              </w:rPr>
              <w:t xml:space="preserve"> </w:t>
            </w:r>
            <w:r>
              <w:rPr>
                <w:rFonts w:ascii="Arial" w:eastAsia="Times New Roman" w:hAnsi="Arial" w:cs="Arial"/>
                <w:sz w:val="18"/>
                <w:szCs w:val="18"/>
                <w:lang w:eastAsia="ar-SA"/>
              </w:rPr>
              <w:t>в случае увеличения доли независимых директоров в составе Совета директоров.</w:t>
            </w: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3: частично соблюдается.</w:t>
            </w:r>
          </w:p>
          <w:p w:rsidR="00C81778" w:rsidRDefault="00AB0D4E">
            <w:pPr>
              <w:widowControl w:val="0"/>
              <w:tabs>
                <w:tab w:val="left" w:pos="176"/>
              </w:tabs>
              <w:spacing w:after="200" w:line="276" w:lineRule="auto"/>
              <w:contextualSpacing/>
              <w:jc w:val="both"/>
              <w:rPr>
                <w:rFonts w:ascii="Arial" w:eastAsia="Calibri" w:hAnsi="Arial" w:cs="Times New Roman"/>
                <w:sz w:val="18"/>
              </w:rPr>
            </w:pPr>
            <w:r>
              <w:rPr>
                <w:rFonts w:ascii="Arial" w:eastAsia="Times New Roman" w:hAnsi="Arial" w:cs="Arial"/>
                <w:sz w:val="18"/>
                <w:szCs w:val="18"/>
              </w:rPr>
              <w:t xml:space="preserve">Положение о Комитете по кадрам и вознаграждениям Совета директоров ПАО «ОГК-2» не предусматривает условия, при наступлении которых Комитет рассматривает вопрос о пересмотре политики по вознаграждению. В настоящее время, в Положении о Комитете по кадрам и вознаграждениям ПАО «ОГК-2» предусмотрен периодический пересмотр политики по вознаграждению (п. 2.3.1 Положения о Комитете Совета директоров ПАО «ОГК-2» по кадрам и вознаграждениям). Учитывая, что в функции Комитета по кадрам и вознаграждениям </w:t>
            </w:r>
            <w:r>
              <w:rPr>
                <w:rFonts w:ascii="Arial" w:eastAsia="Times New Roman" w:hAnsi="Arial" w:cs="Arial"/>
                <w:sz w:val="18"/>
                <w:szCs w:val="18"/>
              </w:rPr>
              <w:lastRenderedPageBreak/>
              <w:t>также входит предварительная оценка работы исполнительных органов по итогам года (п. 2.3.2. Положения), регулярная оценка деятельности лица, осуществляющего функции единоличного исполнительного органа (управляющей организации, управляющего) и членов коллегиального исполнительного органа (п. 2.3.3. Положения), Компания полагает, что возможные риски минимизированы за счет всесторонней экспертизы членов Совета директоров, исполнительных органов Общества, что позволяет осуществлять пересмотр политики по вознаграждению в случае необходимости.</w:t>
            </w:r>
          </w:p>
        </w:tc>
      </w:tr>
      <w:tr w:rsidR="00C81778">
        <w:trPr>
          <w:trHeight w:val="278"/>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2.8.3</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Для предварительного рассмотрения вопросов, связанных с осуществлением кадрового планирования (планирования преемственности), профессиональным составом и эффективностью работы </w:t>
            </w:r>
            <w:r>
              <w:rPr>
                <w:rFonts w:ascii="Arial" w:eastAsia="Times New Roman" w:hAnsi="Arial" w:cs="Arial"/>
                <w:sz w:val="18"/>
                <w:szCs w:val="18"/>
              </w:rPr>
              <w:t>Совета</w:t>
            </w:r>
            <w:r>
              <w:rPr>
                <w:rFonts w:ascii="Arial" w:eastAsia="Calibri" w:hAnsi="Arial" w:cs="Times New Roman"/>
                <w:sz w:val="18"/>
              </w:rPr>
              <w:t xml:space="preserve"> директоров, создан комитет по номинациям (назначениям, кадрам), большинство членов которого являются независимыми директорами</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75"/>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Советом директоров создан комитет по номинациям (или его задачи, указанные в </w:t>
            </w:r>
            <w:r>
              <w:rPr>
                <w:rFonts w:ascii="Arial" w:eastAsia="Times New Roman" w:hAnsi="Arial" w:cs="Arial"/>
                <w:sz w:val="18"/>
                <w:szCs w:val="18"/>
              </w:rPr>
              <w:t>рекомендации 186</w:t>
            </w:r>
            <w:r>
              <w:rPr>
                <w:rFonts w:ascii="Arial" w:eastAsia="Calibri" w:hAnsi="Arial" w:cs="Times New Roman"/>
                <w:sz w:val="18"/>
              </w:rPr>
              <w:t xml:space="preserve"> Кодекса, реализуются в рамках иного комитета</w:t>
            </w:r>
            <w:r>
              <w:rPr>
                <w:rFonts w:ascii="Arial" w:eastAsia="Times New Roman" w:hAnsi="Arial" w:cs="Arial"/>
                <w:sz w:val="18"/>
                <w:szCs w:val="18"/>
              </w:rPr>
              <w:t>),</w:t>
            </w:r>
            <w:r>
              <w:rPr>
                <w:rFonts w:ascii="Arial" w:eastAsia="Calibri" w:hAnsi="Arial" w:cs="Times New Roman"/>
                <w:sz w:val="18"/>
              </w:rPr>
              <w:t xml:space="preserve"> большинство членов которого являются независимыми директорами.</w:t>
            </w:r>
          </w:p>
          <w:p w:rsidR="00C81778" w:rsidRDefault="00C81778">
            <w:pPr>
              <w:widowControl w:val="0"/>
              <w:tabs>
                <w:tab w:val="left" w:pos="270"/>
              </w:tabs>
              <w:spacing w:after="200" w:line="276" w:lineRule="auto"/>
              <w:ind w:left="28"/>
              <w:jc w:val="both"/>
              <w:rPr>
                <w:rFonts w:ascii="Arial" w:eastAsia="Calibri" w:hAnsi="Arial" w:cs="Times New Roman"/>
                <w:sz w:val="18"/>
              </w:rPr>
            </w:pPr>
          </w:p>
          <w:p w:rsidR="00C81778" w:rsidRDefault="00AB0D4E">
            <w:pPr>
              <w:widowControl w:val="0"/>
              <w:tabs>
                <w:tab w:val="left" w:pos="270"/>
              </w:tabs>
              <w:spacing w:after="200" w:line="276" w:lineRule="auto"/>
              <w:ind w:left="28"/>
              <w:jc w:val="both"/>
              <w:rPr>
                <w:rFonts w:ascii="Arial" w:eastAsia="Calibri" w:hAnsi="Arial" w:cs="Times New Roman"/>
                <w:sz w:val="18"/>
              </w:rPr>
            </w:pPr>
            <w:r>
              <w:rPr>
                <w:rFonts w:ascii="Arial" w:eastAsia="Calibri" w:hAnsi="Arial" w:cs="Times New Roman"/>
                <w:sz w:val="18"/>
              </w:rPr>
              <w:t xml:space="preserve">2. Во внутренних документах Общества, определены задачи комитета по номинациям (или соответствующего комитета с совмещенным функционалом), включая в том числе задачи, содержащиеся в </w:t>
            </w:r>
            <w:hyperlink r:id="rId38" w:tooltip="consultantplus://offline/ref=C7B3893B3C99E3A2A15EAE82CAEBCD728FB0C474DB3CFE3DEDA91A1EAC8400A836D534127E64C09F4895D1816FD692AB35030D5C8C0EA0C205C0J" w:history="1">
              <w:r>
                <w:rPr>
                  <w:rFonts w:ascii="Arial" w:eastAsia="Calibri" w:hAnsi="Arial" w:cs="Times New Roman"/>
                  <w:sz w:val="18"/>
                </w:rPr>
                <w:t>рекомендации 186</w:t>
              </w:r>
            </w:hyperlink>
            <w:r>
              <w:rPr>
                <w:rFonts w:ascii="Arial" w:eastAsia="Calibri" w:hAnsi="Arial" w:cs="Times New Roman"/>
                <w:sz w:val="18"/>
              </w:rPr>
              <w:t xml:space="preserve"> Кодекса.</w:t>
            </w:r>
          </w:p>
          <w:p w:rsidR="00C81778" w:rsidRDefault="00AB0D4E">
            <w:pPr>
              <w:widowControl w:val="0"/>
              <w:tabs>
                <w:tab w:val="left" w:pos="300"/>
              </w:tabs>
              <w:spacing w:after="0" w:line="240" w:lineRule="auto"/>
              <w:contextualSpacing/>
              <w:jc w:val="both"/>
              <w:rPr>
                <w:rFonts w:ascii="Arial" w:eastAsia="Calibri" w:hAnsi="Arial" w:cs="Times New Roman"/>
                <w:sz w:val="18"/>
              </w:rPr>
            </w:pPr>
            <w:r>
              <w:rPr>
                <w:rFonts w:ascii="Arial" w:eastAsia="Times New Roman" w:hAnsi="Arial" w:cs="Arial"/>
                <w:sz w:val="18"/>
                <w:szCs w:val="20"/>
                <w:lang w:eastAsia="ru-RU"/>
              </w:rPr>
              <w:t xml:space="preserve">3. В целях формирования Совета директоров, наиболее полно отвечающего целям и задачам Общества, комитет по номинациям в отчетном периоде самостоятельно или совместно с иными комитетами Совета директоров или уполномоченное подразделение Общества по взаимодействию с акционерами организовал взаимодействие с акционерами, не ограничиваясь кругом крупнейших акционеров, в контексте подбора кандидатов в Совет директоров </w:t>
            </w:r>
            <w:r>
              <w:rPr>
                <w:rFonts w:ascii="Arial" w:eastAsia="Times New Roman" w:hAnsi="Arial" w:cs="Arial"/>
                <w:sz w:val="18"/>
                <w:szCs w:val="20"/>
                <w:lang w:eastAsia="ru-RU"/>
              </w:rPr>
              <w:lastRenderedPageBreak/>
              <w:t>Общества.</w:t>
            </w:r>
          </w:p>
          <w:p w:rsidR="00C81778" w:rsidRDefault="00C81778">
            <w:pPr>
              <w:widowControl w:val="0"/>
              <w:tabs>
                <w:tab w:val="left" w:pos="300"/>
              </w:tabs>
              <w:spacing w:after="0" w:line="240" w:lineRule="auto"/>
              <w:ind w:left="28"/>
              <w:contextualSpacing/>
              <w:jc w:val="both"/>
              <w:rPr>
                <w:rFonts w:ascii="Arial" w:eastAsia="Times New Roman" w:hAnsi="Arial" w:cs="Arial"/>
                <w:sz w:val="18"/>
                <w:szCs w:val="20"/>
                <w:lang w:eastAsia="ru-RU"/>
              </w:rPr>
            </w:pPr>
          </w:p>
          <w:p w:rsidR="00C81778" w:rsidRDefault="00C81778">
            <w:pPr>
              <w:widowControl w:val="0"/>
              <w:tabs>
                <w:tab w:val="left" w:pos="300"/>
              </w:tabs>
              <w:spacing w:after="0" w:line="240" w:lineRule="auto"/>
              <w:ind w:left="28"/>
              <w:contextualSpacing/>
              <w:jc w:val="both"/>
              <w:rPr>
                <w:rFonts w:ascii="Arial" w:eastAsia="Times New Roman" w:hAnsi="Arial" w:cs="Arial"/>
                <w:sz w:val="18"/>
                <w:szCs w:val="20"/>
                <w:lang w:eastAsia="ru-RU"/>
              </w:rPr>
            </w:pPr>
          </w:p>
          <w:p w:rsidR="00C81778" w:rsidRDefault="00C81778">
            <w:pPr>
              <w:widowControl w:val="0"/>
              <w:tabs>
                <w:tab w:val="left" w:pos="300"/>
              </w:tabs>
              <w:spacing w:after="0" w:line="240" w:lineRule="auto"/>
              <w:contextualSpacing/>
              <w:jc w:val="both"/>
              <w:rPr>
                <w:rFonts w:ascii="Arial" w:eastAsia="Calibri" w:hAnsi="Arial" w:cs="Times New Roman"/>
                <w:sz w:val="18"/>
              </w:rPr>
            </w:pPr>
          </w:p>
        </w:tc>
        <w:tc>
          <w:tcPr>
            <w:tcW w:w="2692"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Times New Roman" w:hAnsi="Arial" w:cs="Arial"/>
                <w:sz w:val="18"/>
                <w:szCs w:val="18"/>
              </w:rPr>
              <w:lastRenderedPageBreak/>
              <w:t>Частично</w:t>
            </w:r>
            <w:r>
              <w:rPr>
                <w:rFonts w:ascii="Arial" w:eastAsia="Calibri" w:hAnsi="Arial" w:cs="Times New Roman"/>
                <w:sz w:val="18"/>
              </w:rPr>
              <w:t xml:space="preserve"> соблюдается</w:t>
            </w:r>
            <w:r>
              <w:rPr>
                <w:rFonts w:ascii="Arial" w:eastAsia="Times New Roman" w:hAnsi="Arial" w:cs="Arial"/>
                <w:sz w:val="18"/>
                <w:szCs w:val="18"/>
              </w:rPr>
              <w:t>.</w:t>
            </w:r>
          </w:p>
          <w:p w:rsidR="00C81778" w:rsidRDefault="00C81778">
            <w:pPr>
              <w:widowControl w:val="0"/>
              <w:spacing w:after="0" w:line="240" w:lineRule="auto"/>
              <w:contextualSpacing/>
              <w:rPr>
                <w:rFonts w:ascii="Arial" w:eastAsia="Calibri" w:hAnsi="Arial" w:cs="Times New Roman"/>
                <w:sz w:val="18"/>
              </w:rPr>
            </w:pP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частично соблюдается.</w:t>
            </w:r>
          </w:p>
          <w:p w:rsidR="00C81778" w:rsidRDefault="00AB0D4E">
            <w:pPr>
              <w:widowControl w:val="0"/>
              <w:spacing w:after="200" w:line="276" w:lineRule="auto"/>
              <w:jc w:val="both"/>
              <w:rPr>
                <w:rFonts w:ascii="Arial" w:eastAsia="Times New Roman" w:hAnsi="Arial" w:cs="Arial"/>
                <w:sz w:val="18"/>
                <w:szCs w:val="18"/>
              </w:rPr>
            </w:pPr>
            <w:r>
              <w:rPr>
                <w:rFonts w:ascii="Arial" w:eastAsia="Times New Roman" w:hAnsi="Arial" w:cs="Arial"/>
                <w:sz w:val="18"/>
                <w:szCs w:val="18"/>
              </w:rPr>
              <w:t xml:space="preserve">Комитет Совета директоров по кадрам и вознаграждениям состоит из 3 человек и выполняет функции, рекомендованные в п. 186 Кодекса. В отчетном году действовало два состава Комитета по кадрам и вознаграждениям. </w:t>
            </w:r>
          </w:p>
          <w:p w:rsidR="00C81778" w:rsidRDefault="00AB0D4E">
            <w:pPr>
              <w:widowControl w:val="0"/>
              <w:spacing w:after="200" w:line="276" w:lineRule="auto"/>
              <w:jc w:val="both"/>
              <w:rPr>
                <w:rFonts w:ascii="Arial" w:eastAsia="Times New Roman" w:hAnsi="Arial" w:cs="Arial"/>
                <w:sz w:val="18"/>
                <w:szCs w:val="18"/>
              </w:rPr>
            </w:pPr>
            <w:r>
              <w:rPr>
                <w:rFonts w:ascii="Arial" w:eastAsia="Times New Roman" w:hAnsi="Arial" w:cs="Arial"/>
                <w:sz w:val="18"/>
                <w:szCs w:val="18"/>
              </w:rPr>
              <w:t>Поскольку в соответствии с Положением о Комитете Совета директоров по кадрам и вознаграждениям ПАО «ОГК-2» минимальное количество членов Комитета составляет 3 человека, то на данный момент сформировать Комитет Совета директоров по кадрам и вознаграждениям, большинство членов которого будут независимыми не представляется возможным.</w:t>
            </w:r>
          </w:p>
          <w:p w:rsidR="00C81778" w:rsidRDefault="00AB0D4E">
            <w:pPr>
              <w:widowControl w:val="0"/>
              <w:spacing w:after="200" w:line="276" w:lineRule="auto"/>
              <w:jc w:val="both"/>
              <w:rPr>
                <w:rFonts w:ascii="Arial" w:eastAsia="Times New Roman" w:hAnsi="Arial" w:cs="Arial"/>
                <w:sz w:val="18"/>
                <w:szCs w:val="18"/>
              </w:rPr>
            </w:pPr>
            <w:r>
              <w:rPr>
                <w:rFonts w:ascii="Arial" w:eastAsia="Times New Roman" w:hAnsi="Arial" w:cs="Arial"/>
                <w:sz w:val="18"/>
                <w:szCs w:val="18"/>
              </w:rPr>
              <w:t xml:space="preserve">Общество предпринимает усилия для обеспечения выполнения данного критерия и при направлении акционерам запросов о предоставлении кандидатур для избрания в состав Совета директоров ПАО «ОГК-2», обращает внимание, на то, что представленные кандидаты должны </w:t>
            </w:r>
            <w:r>
              <w:rPr>
                <w:rFonts w:ascii="Arial" w:eastAsia="Times New Roman" w:hAnsi="Arial" w:cs="Arial"/>
                <w:sz w:val="18"/>
                <w:szCs w:val="18"/>
              </w:rPr>
              <w:lastRenderedPageBreak/>
              <w:t>удовлетворять требованиям Кодекса.</w:t>
            </w:r>
          </w:p>
          <w:p w:rsidR="00C81778" w:rsidRDefault="00AB0D4E">
            <w:pPr>
              <w:widowControl w:val="0"/>
              <w:tabs>
                <w:tab w:val="left" w:pos="176"/>
                <w:tab w:val="left" w:pos="470"/>
              </w:tabs>
              <w:spacing w:after="0" w:line="240" w:lineRule="auto"/>
              <w:contextualSpacing/>
              <w:jc w:val="both"/>
              <w:rPr>
                <w:rFonts w:ascii="Arial" w:eastAsia="Times New Roman" w:hAnsi="Arial" w:cs="Arial"/>
                <w:sz w:val="18"/>
                <w:szCs w:val="18"/>
              </w:rPr>
            </w:pPr>
            <w:r>
              <w:rPr>
                <w:rFonts w:ascii="Arial" w:eastAsia="Times New Roman" w:hAnsi="Arial" w:cs="Arial"/>
                <w:sz w:val="18"/>
                <w:szCs w:val="18"/>
              </w:rPr>
              <w:t>В 2024 г. Общество планирует организовать взаимодействие с акционерами, направленное на объяснение необходимости наличия достаточного количества независимых директоров в составе Совета директоров Общества.</w:t>
            </w:r>
          </w:p>
          <w:p w:rsidR="00C81778" w:rsidRDefault="00C81778">
            <w:pPr>
              <w:spacing w:after="0" w:line="276" w:lineRule="auto"/>
              <w:jc w:val="both"/>
              <w:rPr>
                <w:rFonts w:ascii="Arial" w:eastAsia="Calibri" w:hAnsi="Arial" w:cs="Times New Roman"/>
                <w:sz w:val="18"/>
                <w:u w:val="single"/>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соблюдается.</w:t>
            </w:r>
          </w:p>
          <w:p w:rsidR="00C81778" w:rsidRDefault="00C81778">
            <w:pPr>
              <w:spacing w:after="0" w:line="276" w:lineRule="auto"/>
              <w:jc w:val="both"/>
              <w:rPr>
                <w:rFonts w:ascii="Arial" w:eastAsia="Calibri" w:hAnsi="Arial" w:cs="Times New Roman"/>
                <w:sz w:val="18"/>
                <w:u w:val="single"/>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3: частично соблюдается.</w:t>
            </w:r>
          </w:p>
          <w:p w:rsidR="00C81778" w:rsidRDefault="00AB0D4E">
            <w:pPr>
              <w:spacing w:after="200" w:line="276" w:lineRule="auto"/>
              <w:jc w:val="both"/>
              <w:rPr>
                <w:rFonts w:ascii="Arial" w:eastAsia="Calibri" w:hAnsi="Arial" w:cs="Arial"/>
                <w:sz w:val="18"/>
                <w:szCs w:val="18"/>
              </w:rPr>
            </w:pPr>
            <w:r>
              <w:rPr>
                <w:rFonts w:ascii="Arial" w:eastAsia="Times New Roman" w:hAnsi="Arial" w:cs="Arial"/>
                <w:sz w:val="18"/>
                <w:szCs w:val="18"/>
              </w:rPr>
              <w:t>В соответствии со сложившейся в Обществе практикой,</w:t>
            </w:r>
            <w:r>
              <w:rPr>
                <w:rFonts w:ascii="Arial" w:eastAsia="Times New Roman" w:hAnsi="Arial" w:cs="Arial"/>
                <w:sz w:val="18"/>
                <w:szCs w:val="20"/>
                <w:lang w:eastAsia="ru-RU"/>
              </w:rPr>
              <w:t xml:space="preserve"> </w:t>
            </w:r>
            <w:r>
              <w:rPr>
                <w:rFonts w:ascii="Arial" w:eastAsia="Times New Roman" w:hAnsi="Arial" w:cs="Arial"/>
                <w:sz w:val="18"/>
                <w:szCs w:val="18"/>
              </w:rPr>
              <w:t xml:space="preserve">уполномоченным подразделением Общества по взаимодействию с акционерами организована работа по взаимодействию с акционерами ПАО «ОГК-2» по любым вопросам деятельности Общества (включая его управление). </w:t>
            </w:r>
            <w:r>
              <w:rPr>
                <w:rFonts w:ascii="Arial" w:eastAsia="Calibri" w:hAnsi="Arial" w:cs="Arial"/>
                <w:sz w:val="18"/>
                <w:szCs w:val="18"/>
              </w:rPr>
              <w:t>В частности, Общество информирует акционеров об обязательствах ПАО «ОГК-2», связанных с составом Совета директоров и наличием в нем достаточного количества независимых директоров, избираемых из числа кандидатов, предлагаемых акционерами.</w:t>
            </w:r>
          </w:p>
          <w:p w:rsidR="00C81778" w:rsidRDefault="00AB0D4E">
            <w:pPr>
              <w:spacing w:after="200" w:line="276" w:lineRule="auto"/>
              <w:jc w:val="both"/>
              <w:rPr>
                <w:rFonts w:ascii="Arial" w:eastAsia="Calibri" w:hAnsi="Arial" w:cs="Arial"/>
                <w:sz w:val="18"/>
                <w:szCs w:val="18"/>
              </w:rPr>
            </w:pPr>
            <w:r>
              <w:rPr>
                <w:rFonts w:ascii="Arial" w:eastAsia="Calibri" w:hAnsi="Arial" w:cs="Arial"/>
                <w:sz w:val="18"/>
                <w:szCs w:val="18"/>
              </w:rPr>
              <w:t>В качестве альтернативных мер, к компетенции Комитета Совета директоров по кадрам и вознаграждениям, в соответствии с Положением о Комитете, отнесено взаимодействие с акционерами, с целью формирования рекомендаций акционерам в отношении голосования по вопросу избрания кандидатов в Совет директоров (п. 2.3 ст.2 Положения о Комитете Совета директоров ПАО «ОГК-2» по кадрам и вознаграждениям).</w:t>
            </w:r>
          </w:p>
          <w:p w:rsidR="00C81778" w:rsidRDefault="00AB0D4E">
            <w:pPr>
              <w:widowControl w:val="0"/>
              <w:spacing w:after="200" w:line="276" w:lineRule="auto"/>
              <w:jc w:val="both"/>
              <w:rPr>
                <w:rFonts w:ascii="Arial" w:eastAsia="Calibri" w:hAnsi="Arial" w:cs="Times New Roman"/>
                <w:sz w:val="18"/>
              </w:rPr>
            </w:pPr>
            <w:r>
              <w:rPr>
                <w:rFonts w:ascii="Arial" w:eastAsia="Times New Roman" w:hAnsi="Arial" w:cs="Arial"/>
                <w:sz w:val="18"/>
                <w:szCs w:val="18"/>
              </w:rPr>
              <w:t xml:space="preserve">Учитывая существующую структуру акционерного капитала, Общество, в </w:t>
            </w:r>
            <w:r>
              <w:rPr>
                <w:rFonts w:ascii="Arial" w:eastAsia="Times New Roman" w:hAnsi="Arial" w:cs="Arial"/>
                <w:sz w:val="18"/>
                <w:szCs w:val="18"/>
              </w:rPr>
              <w:lastRenderedPageBreak/>
              <w:t>контексте подбора кандидатов в Совет директоров, планирует взаимодействие, прежде всего с основными акционерами, при этом, также стремится повышать уровень взаимодействия со всеми акционерами Общества, понимая, что состав Совета директоров Общества в 2024 г. будет сформирован из кандидатур, предложенных акционерами в соответствии с п.1. ст. 53 ФЗ «Об акционерных обществах».</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2.8.4</w:t>
            </w:r>
            <w:r>
              <w:rPr>
                <w:rFonts w:ascii="Arial" w:eastAsia="Times New Roman" w:hAnsi="Arial" w:cs="Arial"/>
                <w:b/>
                <w:bCs/>
                <w:sz w:val="18"/>
                <w:szCs w:val="18"/>
              </w:rPr>
              <w:t>.</w:t>
            </w:r>
          </w:p>
        </w:tc>
        <w:tc>
          <w:tcPr>
            <w:tcW w:w="3826" w:type="dxa"/>
          </w:tcPr>
          <w:p w:rsidR="00C81778" w:rsidRDefault="00AB0D4E">
            <w:pPr>
              <w:widowControl w:val="0"/>
              <w:spacing w:after="200" w:line="276" w:lineRule="auto"/>
              <w:ind w:right="-102"/>
              <w:contextualSpacing/>
              <w:rPr>
                <w:rFonts w:ascii="Arial" w:eastAsia="Calibri" w:hAnsi="Arial" w:cs="Times New Roman"/>
                <w:sz w:val="18"/>
              </w:rPr>
            </w:pPr>
            <w:r>
              <w:rPr>
                <w:rFonts w:ascii="Arial" w:eastAsia="Calibri" w:hAnsi="Arial" w:cs="Times New Roman"/>
                <w:sz w:val="18"/>
              </w:rPr>
              <w:t xml:space="preserve">С учетом масштабов деятельности и уровня риска </w:t>
            </w:r>
            <w:r>
              <w:rPr>
                <w:rFonts w:ascii="Arial" w:eastAsia="Times New Roman" w:hAnsi="Arial" w:cs="Arial"/>
                <w:sz w:val="18"/>
                <w:szCs w:val="18"/>
              </w:rPr>
              <w:t>Совет</w:t>
            </w:r>
            <w:r>
              <w:rPr>
                <w:rFonts w:ascii="Arial" w:eastAsia="Calibri" w:hAnsi="Arial" w:cs="Times New Roman"/>
                <w:sz w:val="18"/>
              </w:rPr>
              <w:t xml:space="preserve"> директоров </w:t>
            </w:r>
            <w:r>
              <w:rPr>
                <w:rFonts w:ascii="Arial" w:eastAsia="Times New Roman" w:hAnsi="Arial" w:cs="Arial"/>
                <w:sz w:val="18"/>
                <w:szCs w:val="18"/>
              </w:rPr>
              <w:t>Общества</w:t>
            </w:r>
            <w:r>
              <w:rPr>
                <w:rFonts w:ascii="Arial" w:eastAsia="Calibri" w:hAnsi="Arial" w:cs="Times New Roman"/>
                <w:sz w:val="18"/>
              </w:rPr>
              <w:t xml:space="preserve"> удостоверился в том, что состав его комитетов полностью отвечает целям деятельности </w:t>
            </w:r>
            <w:r>
              <w:rPr>
                <w:rFonts w:ascii="Arial" w:eastAsia="Times New Roman" w:hAnsi="Arial" w:cs="Arial"/>
                <w:sz w:val="18"/>
                <w:szCs w:val="18"/>
              </w:rPr>
              <w:t>Общества</w:t>
            </w:r>
            <w:r>
              <w:rPr>
                <w:rFonts w:ascii="Arial" w:eastAsia="Calibri" w:hAnsi="Arial" w:cs="Times New Roman"/>
                <w:sz w:val="18"/>
              </w:rPr>
              <w:t>. Дополнительные комитеты либо были сформированы, либо не были признаны необходимыми (комитет по стратегии, комитет по корпоративному управлению, комитет по этике, комитет по управлению рисками, комитет по бюджету, комитет по здоровью, безопасности и окружающей среде и др.)</w:t>
            </w:r>
          </w:p>
        </w:tc>
        <w:tc>
          <w:tcPr>
            <w:tcW w:w="3827" w:type="dxa"/>
          </w:tcPr>
          <w:p w:rsidR="00C81778" w:rsidRDefault="00AB0D4E" w:rsidP="00AB0D4E">
            <w:pPr>
              <w:widowControl w:val="0"/>
              <w:numPr>
                <w:ilvl w:val="0"/>
                <w:numId w:val="76"/>
              </w:numPr>
              <w:tabs>
                <w:tab w:val="left" w:pos="315"/>
              </w:tabs>
              <w:spacing w:after="0" w:line="240" w:lineRule="auto"/>
              <w:ind w:left="0" w:right="-102" w:firstLine="0"/>
              <w:contextualSpacing/>
              <w:jc w:val="both"/>
              <w:rPr>
                <w:rFonts w:ascii="Arial" w:eastAsia="Calibri" w:hAnsi="Arial" w:cs="Times New Roman"/>
                <w:sz w:val="18"/>
              </w:rPr>
            </w:pPr>
            <w:r>
              <w:rPr>
                <w:rFonts w:ascii="Arial" w:eastAsia="Calibri" w:hAnsi="Arial" w:cs="Times New Roman"/>
                <w:sz w:val="18"/>
              </w:rPr>
              <w:t>В отчетном периоде Совет директоров Общества рассмотрел вопрос о соответствии структуры Совета директоров масштабу и характеру, целям деятельности и потребностям, профилю рисков Общества. Дополнительные комитеты либо были сформированы, либо не были признаны необходимыми.</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Частично соблюдается.</w:t>
            </w:r>
          </w:p>
        </w:tc>
        <w:tc>
          <w:tcPr>
            <w:tcW w:w="3966" w:type="dxa"/>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частично соблюдается.</w:t>
            </w:r>
          </w:p>
          <w:p w:rsidR="00C81778" w:rsidRDefault="00AB0D4E">
            <w:pPr>
              <w:spacing w:after="0" w:line="240" w:lineRule="auto"/>
              <w:jc w:val="both"/>
              <w:rPr>
                <w:rFonts w:ascii="Arial" w:eastAsia="Times New Roman" w:hAnsi="Arial" w:cs="Arial"/>
                <w:sz w:val="18"/>
                <w:szCs w:val="18"/>
              </w:rPr>
            </w:pPr>
            <w:r>
              <w:rPr>
                <w:rFonts w:ascii="Arial" w:eastAsia="Times New Roman" w:hAnsi="Arial" w:cs="Arial"/>
                <w:sz w:val="18"/>
                <w:szCs w:val="18"/>
              </w:rPr>
              <w:t>Советом директоров ПАО «ОГК-2» в отчетном году был рассмотрен вопрос о формировании комитетов. По результатам были сформированы следующие комитеты:</w:t>
            </w:r>
          </w:p>
          <w:p w:rsidR="00C81778" w:rsidRDefault="00AB0D4E">
            <w:pPr>
              <w:spacing w:after="0" w:line="240" w:lineRule="auto"/>
              <w:jc w:val="both"/>
              <w:rPr>
                <w:rFonts w:ascii="Arial" w:hAnsi="Arial" w:cs="Arial"/>
                <w:sz w:val="18"/>
                <w:szCs w:val="18"/>
              </w:rPr>
            </w:pPr>
            <w:r>
              <w:rPr>
                <w:rFonts w:ascii="Arial" w:eastAsia="Calibri" w:hAnsi="Arial" w:cs="Arial"/>
                <w:sz w:val="18"/>
                <w:szCs w:val="18"/>
              </w:rPr>
              <w:t>- Комитет по аудиту;</w:t>
            </w:r>
          </w:p>
          <w:p w:rsidR="00C81778" w:rsidRDefault="00AB0D4E">
            <w:pPr>
              <w:spacing w:after="0" w:line="240" w:lineRule="auto"/>
              <w:jc w:val="both"/>
              <w:rPr>
                <w:rFonts w:ascii="Arial" w:hAnsi="Arial" w:cs="Arial"/>
                <w:sz w:val="18"/>
                <w:szCs w:val="18"/>
              </w:rPr>
            </w:pPr>
            <w:r>
              <w:rPr>
                <w:rFonts w:ascii="Arial" w:eastAsia="Calibri" w:hAnsi="Arial" w:cs="Arial"/>
                <w:sz w:val="18"/>
                <w:szCs w:val="18"/>
              </w:rPr>
              <w:t>- Комитет по кадрам и вознаграждениям;</w:t>
            </w:r>
          </w:p>
          <w:p w:rsidR="00C81778" w:rsidRDefault="00AB0D4E">
            <w:pPr>
              <w:spacing w:after="0" w:line="240" w:lineRule="auto"/>
              <w:jc w:val="both"/>
              <w:rPr>
                <w:rFonts w:ascii="Arial" w:hAnsi="Arial" w:cs="Arial"/>
                <w:sz w:val="18"/>
                <w:szCs w:val="18"/>
              </w:rPr>
            </w:pPr>
            <w:r>
              <w:rPr>
                <w:rFonts w:ascii="Arial" w:eastAsia="Calibri" w:hAnsi="Arial" w:cs="Arial"/>
                <w:sz w:val="18"/>
                <w:szCs w:val="18"/>
              </w:rPr>
              <w:t>- Комитет по стратегии, инвестициям и устойчивому развитию;</w:t>
            </w:r>
          </w:p>
          <w:p w:rsidR="00C81778" w:rsidRDefault="00AB0D4E">
            <w:pPr>
              <w:spacing w:after="0" w:line="240" w:lineRule="auto"/>
              <w:jc w:val="both"/>
              <w:rPr>
                <w:rFonts w:ascii="Arial" w:hAnsi="Arial" w:cs="Arial"/>
                <w:sz w:val="18"/>
                <w:szCs w:val="18"/>
              </w:rPr>
            </w:pPr>
            <w:r>
              <w:rPr>
                <w:rFonts w:ascii="Arial" w:eastAsia="Calibri" w:hAnsi="Arial" w:cs="Arial"/>
                <w:sz w:val="18"/>
                <w:szCs w:val="18"/>
              </w:rPr>
              <w:t>- Комитет по надежности.</w:t>
            </w:r>
          </w:p>
          <w:p w:rsidR="00C81778" w:rsidRDefault="00AB0D4E">
            <w:pPr>
              <w:spacing w:after="0" w:line="240" w:lineRule="auto"/>
              <w:jc w:val="both"/>
              <w:rPr>
                <w:rFonts w:ascii="Arial" w:hAnsi="Arial" w:cs="Arial"/>
                <w:sz w:val="18"/>
                <w:szCs w:val="18"/>
              </w:rPr>
            </w:pPr>
            <w:r>
              <w:rPr>
                <w:rFonts w:ascii="Arial" w:eastAsia="Calibri" w:hAnsi="Arial" w:cs="Arial"/>
                <w:sz w:val="18"/>
                <w:szCs w:val="18"/>
              </w:rPr>
              <w:t>В отчетном периоде Совет директоров ПАО «ОГК-2» не рассматривал вопрос о соответствии структуры Совета директоров масштабу и характеру, целям деятельности и потребностям, профилю рисков Общества отдельным вопросом.</w:t>
            </w:r>
          </w:p>
          <w:p w:rsidR="00C81778" w:rsidRDefault="00AB0D4E">
            <w:pPr>
              <w:spacing w:after="0" w:line="240" w:lineRule="auto"/>
              <w:jc w:val="both"/>
              <w:rPr>
                <w:rFonts w:ascii="Arial" w:hAnsi="Arial" w:cs="Arial"/>
                <w:sz w:val="18"/>
                <w:szCs w:val="18"/>
              </w:rPr>
            </w:pPr>
            <w:r>
              <w:rPr>
                <w:rFonts w:ascii="Arial" w:eastAsia="Calibri" w:hAnsi="Arial" w:cs="Arial"/>
                <w:sz w:val="18"/>
                <w:szCs w:val="18"/>
              </w:rPr>
              <w:t>В то же время Обществом в 2023 г. инициирована процедура оценки деятельности Совета директоров и комитетов, которая позволит выявить потребности Совета директоров, проанализировать достаточность сложившейся структуры Совета директоров Общества масштабу и характеру, целям деятельности и потребностям, профилю рисков Общества.</w:t>
            </w:r>
          </w:p>
          <w:p w:rsidR="00C81778" w:rsidRDefault="00AB0D4E">
            <w:pPr>
              <w:widowControl w:val="0"/>
              <w:tabs>
                <w:tab w:val="left" w:pos="399"/>
              </w:tabs>
              <w:spacing w:after="200" w:line="276" w:lineRule="auto"/>
              <w:contextualSpacing/>
              <w:jc w:val="both"/>
              <w:rPr>
                <w:rFonts w:ascii="Arial" w:eastAsia="Calibri" w:hAnsi="Arial" w:cs="Times New Roman"/>
                <w:sz w:val="18"/>
              </w:rPr>
            </w:pPr>
            <w:r>
              <w:rPr>
                <w:rFonts w:ascii="Arial" w:eastAsia="Times New Roman" w:hAnsi="Arial" w:cs="Arial"/>
                <w:sz w:val="18"/>
                <w:szCs w:val="18"/>
              </w:rPr>
              <w:t xml:space="preserve">В настоящее время, Обществом проведена оценка деятельности Совета директоров и комитетов по итогам 2023-2024гг., по результатам которой Совет директоров в 2024 г. рассмотрит также и вопрос о соответствии структуры Совета директоров </w:t>
            </w:r>
            <w:r>
              <w:rPr>
                <w:rFonts w:ascii="Arial" w:eastAsia="Times New Roman" w:hAnsi="Arial" w:cs="Arial"/>
                <w:sz w:val="18"/>
                <w:szCs w:val="18"/>
              </w:rPr>
              <w:lastRenderedPageBreak/>
              <w:t>масштабу и характеру, целям деятельности и потребностям, профилю рисков Общества и примет решение о необходимости формирования дополнительных комитетов.</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2.8.5</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Состав комитетов определен таким образом, чтобы он позволял проводить всестороннее обсуждение предварительно рассматриваемых вопросов с учетом различных мнений</w:t>
            </w:r>
            <w:r>
              <w:rPr>
                <w:rFonts w:ascii="Arial" w:eastAsia="Times New Roman" w:hAnsi="Arial" w:cs="Arial"/>
                <w:sz w:val="18"/>
                <w:szCs w:val="18"/>
              </w:rPr>
              <w:t>.</w:t>
            </w:r>
          </w:p>
        </w:tc>
        <w:tc>
          <w:tcPr>
            <w:tcW w:w="3827" w:type="dxa"/>
            <w:shd w:val="clear" w:color="auto" w:fill="DBE5F1"/>
          </w:tcPr>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Times New Roman" w:hAnsi="Arial" w:cs="Arial"/>
                <w:sz w:val="20"/>
                <w:szCs w:val="20"/>
                <w:lang w:eastAsia="ru-RU"/>
              </w:rPr>
              <w:t xml:space="preserve">1. </w:t>
            </w:r>
            <w:r>
              <w:rPr>
                <w:rFonts w:ascii="Arial" w:eastAsia="Times New Roman" w:hAnsi="Arial" w:cs="Arial"/>
                <w:sz w:val="18"/>
                <w:szCs w:val="20"/>
                <w:lang w:eastAsia="ru-RU"/>
              </w:rPr>
              <w:t>Комитет по аудиту, комитет по вознаграждениям, комитет по номинациям (или соответствующий комитет с совмещенным функционалом) в отчетном периоде возглавлялись независимыми директорами.</w:t>
            </w:r>
          </w:p>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Times New Roman" w:hAnsi="Arial" w:cs="Arial"/>
                <w:sz w:val="18"/>
                <w:szCs w:val="20"/>
                <w:lang w:eastAsia="ru-RU"/>
              </w:rPr>
              <w:t xml:space="preserve">2. Во внутренних документах (политиках) </w:t>
            </w:r>
            <w:r>
              <w:rPr>
                <w:rFonts w:ascii="Arial" w:eastAsia="Times New Roman" w:hAnsi="Arial" w:cs="Arial"/>
                <w:sz w:val="18"/>
                <w:szCs w:val="18"/>
                <w:lang w:eastAsia="ru-RU"/>
              </w:rPr>
              <w:t>Общества</w:t>
            </w:r>
            <w:r>
              <w:rPr>
                <w:rFonts w:ascii="Arial" w:eastAsia="Times New Roman" w:hAnsi="Arial" w:cs="Arial"/>
                <w:sz w:val="18"/>
                <w:szCs w:val="20"/>
                <w:lang w:eastAsia="ru-RU"/>
              </w:rPr>
              <w:t xml:space="preserve"> предусмотрены положения, в соответствии с которыми лица, не входящие в состав комитета по аудиту, комитета по номинациям (или соответствующий комитет с совмещенным функционалом)</w:t>
            </w:r>
            <w:r>
              <w:rPr>
                <w:rFonts w:ascii="Arial" w:eastAsia="Times New Roman" w:hAnsi="Arial" w:cs="Arial"/>
                <w:sz w:val="20"/>
                <w:szCs w:val="20"/>
                <w:lang w:eastAsia="ru-RU"/>
              </w:rPr>
              <w:t xml:space="preserve"> </w:t>
            </w:r>
            <w:r>
              <w:rPr>
                <w:rFonts w:ascii="Arial" w:eastAsia="Times New Roman" w:hAnsi="Arial" w:cs="Arial"/>
                <w:sz w:val="18"/>
                <w:szCs w:val="20"/>
                <w:lang w:eastAsia="ru-RU"/>
              </w:rPr>
              <w:t>и комитета по вознаграждениям, могут посещать заседания комитетов только по приглашению председателя соответствующего комитета</w:t>
            </w:r>
            <w:r>
              <w:rPr>
                <w:rFonts w:ascii="Arial" w:eastAsia="Times New Roman" w:hAnsi="Arial" w:cs="Arial"/>
                <w:sz w:val="18"/>
                <w:szCs w:val="18"/>
                <w:lang w:eastAsia="ru-RU"/>
              </w:rPr>
              <w:t>.</w:t>
            </w:r>
          </w:p>
        </w:tc>
        <w:tc>
          <w:tcPr>
            <w:tcW w:w="2692"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Times New Roman" w:hAnsi="Arial" w:cs="Arial"/>
                <w:sz w:val="18"/>
                <w:szCs w:val="18"/>
              </w:rPr>
              <w:t>Частично</w:t>
            </w:r>
            <w:r>
              <w:rPr>
                <w:rFonts w:ascii="Arial" w:eastAsia="Calibri" w:hAnsi="Arial" w:cs="Times New Roman"/>
                <w:sz w:val="18"/>
              </w:rPr>
              <w:t xml:space="preserve"> соблюдается</w:t>
            </w:r>
            <w:r>
              <w:rPr>
                <w:rFonts w:ascii="Arial" w:eastAsia="Times New Roman" w:hAnsi="Arial" w:cs="Arial"/>
                <w:sz w:val="18"/>
                <w:szCs w:val="18"/>
              </w:rPr>
              <w:t>.</w:t>
            </w:r>
          </w:p>
          <w:p w:rsidR="00C81778" w:rsidRDefault="00C81778">
            <w:pPr>
              <w:widowControl w:val="0"/>
              <w:spacing w:after="0" w:line="240" w:lineRule="auto"/>
              <w:ind w:left="357"/>
              <w:contextualSpacing/>
              <w:rPr>
                <w:rFonts w:ascii="Arial" w:eastAsia="Calibri" w:hAnsi="Arial" w:cs="Times New Roman"/>
                <w:sz w:val="18"/>
              </w:rPr>
            </w:pPr>
          </w:p>
        </w:tc>
        <w:tc>
          <w:tcPr>
            <w:tcW w:w="3966" w:type="dxa"/>
            <w:shd w:val="clear" w:color="auto" w:fill="DBE5F1"/>
          </w:tcPr>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1: частично соблюдается.</w:t>
            </w:r>
          </w:p>
          <w:p w:rsidR="00C81778" w:rsidRDefault="00AB0D4E">
            <w:pPr>
              <w:widowControl w:val="0"/>
              <w:tabs>
                <w:tab w:val="left" w:pos="459"/>
              </w:tabs>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В действующий состав Совета директоров ПАО «ОГК-2» входит один независимый директор, который является членом двух комитетов Совета директоров (Комитет по аудиту, Комитет по кадрам и вознаграждениям), а также является председателем Комитета Совета директоров ПАО «ОГК-2» по аудиту. В существующих условиях назначение независимого директора председателем всех комитетов не представляется возможным, поскольку. это повлечет возложение на него повышенной нагрузки.</w:t>
            </w:r>
          </w:p>
          <w:p w:rsidR="00C81778" w:rsidRDefault="00AB0D4E">
            <w:pPr>
              <w:widowControl w:val="0"/>
              <w:tabs>
                <w:tab w:val="left" w:pos="459"/>
              </w:tabs>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Общество планирует рассмотреть вопрос о назначении независимых директоров председателями комитетов в случае увеличения количества независимых директоров в составе Совета директоров.</w:t>
            </w:r>
          </w:p>
          <w:p w:rsidR="00C81778" w:rsidRDefault="00AB0D4E">
            <w:pPr>
              <w:widowControl w:val="0"/>
              <w:tabs>
                <w:tab w:val="left" w:pos="459"/>
              </w:tabs>
              <w:spacing w:after="200" w:line="276" w:lineRule="auto"/>
              <w:contextualSpacing/>
              <w:jc w:val="both"/>
              <w:rPr>
                <w:rFonts w:ascii="Arial" w:hAnsi="Arial" w:cs="Arial"/>
                <w:bCs/>
                <w:sz w:val="18"/>
                <w:szCs w:val="18"/>
              </w:rPr>
            </w:pPr>
            <w:r>
              <w:rPr>
                <w:rFonts w:ascii="Arial" w:eastAsia="Calibri" w:hAnsi="Arial" w:cs="Arial"/>
                <w:bCs/>
                <w:sz w:val="18"/>
                <w:szCs w:val="18"/>
              </w:rPr>
              <w:t>При этом Общество предпринимает усилия для обеспечения выполнения данного критерия и при направлении акционерам запросов о предоставлении кандидатур для избрания в состав Совета директоров ПАО «ОГК-2», обращает внимание, на то, что представленные кандидаты должны удовлетворять требованиям Кодекса.</w:t>
            </w:r>
          </w:p>
          <w:p w:rsidR="00C81778" w:rsidRDefault="00AB0D4E">
            <w:pPr>
              <w:widowControl w:val="0"/>
              <w:tabs>
                <w:tab w:val="left" w:pos="459"/>
              </w:tabs>
              <w:spacing w:after="200" w:line="276" w:lineRule="auto"/>
              <w:contextualSpacing/>
              <w:jc w:val="both"/>
              <w:rPr>
                <w:rFonts w:ascii="Arial" w:eastAsia="Times New Roman" w:hAnsi="Arial" w:cs="Arial"/>
                <w:sz w:val="18"/>
                <w:szCs w:val="18"/>
              </w:rPr>
            </w:pPr>
            <w:r>
              <w:rPr>
                <w:rFonts w:ascii="Arial" w:eastAsia="Times New Roman" w:hAnsi="Arial" w:cs="Arial"/>
                <w:bCs/>
                <w:sz w:val="18"/>
                <w:szCs w:val="18"/>
              </w:rPr>
              <w:t>В 2024 г. Общество планирует организовать взаимодействие с акционерами, направленное на объяснение необходимости наличия достаточного количества независимых директоров в составе Совета директоров Общества.</w:t>
            </w:r>
          </w:p>
          <w:p w:rsidR="00C81778" w:rsidRDefault="00C81778">
            <w:pPr>
              <w:spacing w:after="0" w:line="276" w:lineRule="auto"/>
              <w:jc w:val="both"/>
              <w:rPr>
                <w:rFonts w:ascii="Arial" w:eastAsia="Calibri" w:hAnsi="Arial" w:cs="Times New Roman"/>
                <w:sz w:val="18"/>
                <w:u w:val="single"/>
              </w:rPr>
            </w:pPr>
          </w:p>
          <w:p w:rsidR="00C81778" w:rsidRDefault="00AB0D4E">
            <w:pPr>
              <w:spacing w:after="0" w:line="276" w:lineRule="auto"/>
              <w:jc w:val="both"/>
              <w:rPr>
                <w:rFonts w:ascii="Arial" w:eastAsia="Calibri" w:hAnsi="Arial" w:cs="Arial"/>
                <w:sz w:val="18"/>
                <w:szCs w:val="18"/>
              </w:rPr>
            </w:pPr>
            <w:r>
              <w:rPr>
                <w:rFonts w:ascii="Arial" w:eastAsia="Calibri" w:hAnsi="Arial" w:cs="Times New Roman"/>
                <w:sz w:val="18"/>
                <w:u w:val="single"/>
              </w:rPr>
              <w:t>Критерий 2: соблюдается.</w:t>
            </w:r>
          </w:p>
          <w:p w:rsidR="00C81778" w:rsidRDefault="00C81778">
            <w:pPr>
              <w:widowControl w:val="0"/>
              <w:tabs>
                <w:tab w:val="left" w:pos="459"/>
              </w:tabs>
              <w:spacing w:after="200" w:line="276" w:lineRule="auto"/>
              <w:contextualSpacing/>
              <w:jc w:val="both"/>
              <w:rPr>
                <w:rFonts w:ascii="Arial" w:eastAsia="Calibri" w:hAnsi="Arial" w:cs="Times New Roman"/>
                <w:sz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2.8.6</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Председатели комитетов регулярно информируют </w:t>
            </w:r>
            <w:r>
              <w:rPr>
                <w:rFonts w:ascii="Arial" w:eastAsia="Times New Roman" w:hAnsi="Arial" w:cs="Arial"/>
                <w:sz w:val="18"/>
                <w:szCs w:val="18"/>
              </w:rPr>
              <w:t>Совет</w:t>
            </w:r>
            <w:r>
              <w:rPr>
                <w:rFonts w:ascii="Arial" w:eastAsia="Calibri" w:hAnsi="Arial" w:cs="Times New Roman"/>
                <w:sz w:val="18"/>
              </w:rPr>
              <w:t xml:space="preserve"> директоров и его председателя о работе своих комитетов</w:t>
            </w:r>
            <w:r>
              <w:rPr>
                <w:rFonts w:ascii="Arial" w:eastAsia="Times New Roman" w:hAnsi="Arial" w:cs="Arial"/>
                <w:sz w:val="18"/>
                <w:szCs w:val="18"/>
              </w:rPr>
              <w:t>.</w:t>
            </w:r>
          </w:p>
        </w:tc>
        <w:tc>
          <w:tcPr>
            <w:tcW w:w="3827" w:type="dxa"/>
          </w:tcPr>
          <w:p w:rsidR="00C81778" w:rsidRDefault="00AB0D4E" w:rsidP="00AB0D4E">
            <w:pPr>
              <w:widowControl w:val="0"/>
              <w:numPr>
                <w:ilvl w:val="0"/>
                <w:numId w:val="77"/>
              </w:numPr>
              <w:tabs>
                <w:tab w:val="left" w:pos="31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 течение отчетного периода председатели комитетов регулярно отчитывались о работе комитетов перед </w:t>
            </w:r>
            <w:r>
              <w:rPr>
                <w:rFonts w:ascii="Arial" w:eastAsia="Times New Roman" w:hAnsi="Arial" w:cs="Arial"/>
                <w:sz w:val="18"/>
                <w:szCs w:val="18"/>
              </w:rPr>
              <w:t>Советом</w:t>
            </w:r>
            <w:r>
              <w:rPr>
                <w:rFonts w:ascii="Arial" w:eastAsia="Calibri" w:hAnsi="Arial" w:cs="Times New Roman"/>
                <w:sz w:val="18"/>
              </w:rPr>
              <w:t xml:space="preserve"> директоров</w:t>
            </w:r>
            <w:r>
              <w:rPr>
                <w:rFonts w:ascii="Arial" w:eastAsia="Times New Roman"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Частично соблюдается.</w:t>
            </w:r>
          </w:p>
        </w:tc>
        <w:tc>
          <w:tcPr>
            <w:tcW w:w="3966" w:type="dxa"/>
          </w:tcPr>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1: частично соблюдается.</w:t>
            </w:r>
          </w:p>
          <w:p w:rsidR="00C81778" w:rsidRDefault="00AB0D4E">
            <w:pPr>
              <w:spacing w:after="0" w:line="276" w:lineRule="auto"/>
              <w:jc w:val="both"/>
              <w:rPr>
                <w:rFonts w:ascii="Arial" w:eastAsia="Times New Roman" w:hAnsi="Arial" w:cs="Arial"/>
                <w:sz w:val="18"/>
                <w:szCs w:val="18"/>
              </w:rPr>
            </w:pPr>
            <w:r>
              <w:rPr>
                <w:rFonts w:ascii="Arial" w:eastAsia="Calibri" w:hAnsi="Arial" w:cs="Times New Roman"/>
                <w:sz w:val="18"/>
              </w:rPr>
              <w:t xml:space="preserve">В течение отчетного периода председатели комитетов Совета директоров ПАО «ОГК-2» по аудиту и по кадрам и вознаграждениям отчитывались о работе комитетов перед Советом директоров. В то же время, Совет директоров регулярно рассматривает отчеты о работе всех комитетов в рамках предварительного утверждения годового отчета Общества. Кроме того, Обществом проведена оценка деятельности Совета директоров и комитетов за 2023 -2024 </w:t>
            </w:r>
            <w:proofErr w:type="spellStart"/>
            <w:r>
              <w:rPr>
                <w:rFonts w:ascii="Arial" w:eastAsia="Calibri" w:hAnsi="Arial" w:cs="Times New Roman"/>
                <w:sz w:val="18"/>
              </w:rPr>
              <w:t>г.г</w:t>
            </w:r>
            <w:proofErr w:type="spellEnd"/>
            <w:r>
              <w:rPr>
                <w:rFonts w:ascii="Arial" w:eastAsia="Calibri" w:hAnsi="Arial" w:cs="Times New Roman"/>
                <w:sz w:val="18"/>
              </w:rPr>
              <w:t xml:space="preserve">., в </w:t>
            </w:r>
            <w:proofErr w:type="spellStart"/>
            <w:r>
              <w:rPr>
                <w:rFonts w:ascii="Arial" w:eastAsia="Calibri" w:hAnsi="Arial" w:cs="Times New Roman"/>
                <w:sz w:val="18"/>
              </w:rPr>
              <w:t>т.ч</w:t>
            </w:r>
            <w:proofErr w:type="spellEnd"/>
            <w:r>
              <w:rPr>
                <w:rFonts w:ascii="Arial" w:eastAsia="Calibri" w:hAnsi="Arial" w:cs="Times New Roman"/>
                <w:sz w:val="18"/>
              </w:rPr>
              <w:t>. его комитетов, и в 2024 г. Совет директоров планирует рассмотреть результаты данной оценки. Также, начиная с 2024 г. вопросы о рассмотрении отчетов председателей комитетов Совета директоров ПАО «ОГК-2» включаются в план работы Совета директоров Общества.</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2.9</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Совет директоров обеспечивает проведение оценки качества работы </w:t>
            </w:r>
            <w:r>
              <w:rPr>
                <w:rFonts w:ascii="Arial" w:eastAsia="Calibri" w:hAnsi="Arial" w:cs="Arial"/>
                <w:b/>
                <w:sz w:val="18"/>
                <w:szCs w:val="18"/>
              </w:rPr>
              <w:t>Совета</w:t>
            </w:r>
            <w:r>
              <w:rPr>
                <w:rFonts w:ascii="Arial" w:eastAsia="Calibri" w:hAnsi="Arial" w:cs="Times New Roman"/>
                <w:b/>
                <w:sz w:val="18"/>
              </w:rPr>
              <w:t xml:space="preserve"> директоров, его комитетов и членов </w:t>
            </w:r>
            <w:r>
              <w:rPr>
                <w:rFonts w:ascii="Arial" w:eastAsia="Calibri" w:hAnsi="Arial" w:cs="Arial"/>
                <w:b/>
                <w:sz w:val="18"/>
                <w:szCs w:val="18"/>
              </w:rPr>
              <w:t>Совета</w:t>
            </w:r>
            <w:r>
              <w:rPr>
                <w:rFonts w:ascii="Arial" w:eastAsia="Calibri" w:hAnsi="Arial" w:cs="Times New Roman"/>
                <w:b/>
                <w:sz w:val="18"/>
              </w:rPr>
              <w:t xml:space="preserve"> директоров</w:t>
            </w:r>
            <w:r>
              <w:rPr>
                <w:rFonts w:ascii="Arial" w:eastAsia="Calibri" w:hAnsi="Arial" w:cs="Arial"/>
                <w:b/>
                <w:sz w:val="18"/>
                <w:szCs w:val="18"/>
              </w:rPr>
              <w:t>.</w:t>
            </w:r>
          </w:p>
        </w:tc>
      </w:tr>
      <w:tr w:rsidR="00C81778">
        <w:trPr>
          <w:trHeight w:val="155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2.9.1</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Проведение оценки качества работы </w:t>
            </w:r>
            <w:r>
              <w:rPr>
                <w:rFonts w:ascii="Arial" w:eastAsia="Times New Roman" w:hAnsi="Arial" w:cs="Arial"/>
                <w:sz w:val="18"/>
                <w:szCs w:val="18"/>
              </w:rPr>
              <w:t>Совета</w:t>
            </w:r>
            <w:r>
              <w:rPr>
                <w:rFonts w:ascii="Arial" w:eastAsia="Calibri" w:hAnsi="Arial" w:cs="Times New Roman"/>
                <w:sz w:val="18"/>
              </w:rPr>
              <w:t xml:space="preserve"> директоров направлено на определение степени эффективности работы </w:t>
            </w:r>
            <w:r>
              <w:rPr>
                <w:rFonts w:ascii="Arial" w:eastAsia="Times New Roman" w:hAnsi="Arial" w:cs="Arial"/>
                <w:sz w:val="18"/>
                <w:szCs w:val="18"/>
              </w:rPr>
              <w:t>Совета</w:t>
            </w:r>
            <w:r>
              <w:rPr>
                <w:rFonts w:ascii="Arial" w:eastAsia="Calibri" w:hAnsi="Arial" w:cs="Times New Roman"/>
                <w:sz w:val="18"/>
              </w:rPr>
              <w:t xml:space="preserve"> директоров, комитетов и членов </w:t>
            </w:r>
            <w:r>
              <w:rPr>
                <w:rFonts w:ascii="Arial" w:eastAsia="Times New Roman" w:hAnsi="Arial" w:cs="Arial"/>
                <w:sz w:val="18"/>
                <w:szCs w:val="18"/>
              </w:rPr>
              <w:t>Совета</w:t>
            </w:r>
            <w:r>
              <w:rPr>
                <w:rFonts w:ascii="Arial" w:eastAsia="Calibri" w:hAnsi="Arial" w:cs="Times New Roman"/>
                <w:sz w:val="18"/>
              </w:rPr>
              <w:t xml:space="preserve"> директоров, соответствия их работы потребностям развития </w:t>
            </w:r>
            <w:r>
              <w:rPr>
                <w:rFonts w:ascii="Arial" w:eastAsia="Times New Roman" w:hAnsi="Arial" w:cs="Arial"/>
                <w:sz w:val="18"/>
                <w:szCs w:val="18"/>
              </w:rPr>
              <w:t>Общества</w:t>
            </w:r>
            <w:r>
              <w:rPr>
                <w:rFonts w:ascii="Arial" w:eastAsia="Calibri" w:hAnsi="Arial" w:cs="Times New Roman"/>
                <w:sz w:val="18"/>
              </w:rPr>
              <w:t xml:space="preserve">, активизацию работы </w:t>
            </w:r>
            <w:r>
              <w:rPr>
                <w:rFonts w:ascii="Arial" w:eastAsia="Times New Roman" w:hAnsi="Arial" w:cs="Arial"/>
                <w:sz w:val="18"/>
                <w:szCs w:val="18"/>
              </w:rPr>
              <w:t>Совета</w:t>
            </w:r>
            <w:r>
              <w:rPr>
                <w:rFonts w:ascii="Arial" w:eastAsia="Calibri" w:hAnsi="Arial" w:cs="Times New Roman"/>
                <w:sz w:val="18"/>
              </w:rPr>
              <w:t xml:space="preserve"> директоров и выявление областей, в которых их деятельность может быть улучшена</w:t>
            </w:r>
            <w:r>
              <w:rPr>
                <w:rFonts w:ascii="Arial" w:eastAsia="Times New Roman" w:hAnsi="Arial" w:cs="Arial"/>
                <w:sz w:val="18"/>
                <w:szCs w:val="18"/>
              </w:rPr>
              <w:t>.</w:t>
            </w:r>
          </w:p>
        </w:tc>
        <w:tc>
          <w:tcPr>
            <w:tcW w:w="3827" w:type="dxa"/>
          </w:tcPr>
          <w:p w:rsidR="00C81778" w:rsidRDefault="00AB0D4E">
            <w:pPr>
              <w:widowControl w:val="0"/>
              <w:spacing w:after="200" w:line="276" w:lineRule="auto"/>
              <w:ind w:firstLine="28"/>
              <w:jc w:val="both"/>
              <w:rPr>
                <w:rFonts w:ascii="Arial" w:eastAsia="Calibri" w:hAnsi="Arial" w:cs="Times New Roman"/>
                <w:sz w:val="18"/>
              </w:rPr>
            </w:pPr>
            <w:r>
              <w:rPr>
                <w:rFonts w:ascii="Arial" w:eastAsia="Calibri" w:hAnsi="Arial" w:cs="Times New Roman"/>
                <w:sz w:val="18"/>
              </w:rPr>
              <w:t>1. Во внутренних документах Общества определены процедуры проведения оценки (самооценки) качества работы Совета директоров.</w:t>
            </w:r>
          </w:p>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Times New Roman"/>
                <w:sz w:val="18"/>
              </w:rPr>
              <w:t>2. Оценка (самооценка) качества работы Совета директоров, проведенная в отчетном периоде, включала оценку работы комитетов, индивидуальную оценку каждого члена Совета директоров и Совета директоров в целом.</w:t>
            </w:r>
          </w:p>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Times New Roman"/>
                <w:sz w:val="18"/>
              </w:rPr>
              <w:t>3. Результаты оценки (самооценки) качества работы Совета директоров, проведенной в течение отчетного периода, были рассмотрены на очном заседании Совета директоров.</w:t>
            </w:r>
          </w:p>
        </w:tc>
        <w:tc>
          <w:tcPr>
            <w:tcW w:w="2692" w:type="dxa"/>
          </w:tcPr>
          <w:p w:rsidR="00C81778" w:rsidRDefault="00AB0D4E">
            <w:pPr>
              <w:widowControl w:val="0"/>
              <w:spacing w:after="0" w:line="240" w:lineRule="auto"/>
              <w:ind w:left="31"/>
              <w:contextualSpacing/>
              <w:rPr>
                <w:rFonts w:ascii="Arial" w:eastAsia="Calibri" w:hAnsi="Arial" w:cs="Times New Roman"/>
                <w:sz w:val="18"/>
              </w:rPr>
            </w:pPr>
            <w:r>
              <w:rPr>
                <w:rFonts w:ascii="Arial" w:eastAsia="Times New Roman" w:hAnsi="Arial" w:cs="Arial"/>
                <w:sz w:val="18"/>
                <w:szCs w:val="18"/>
              </w:rPr>
              <w:t>Частично соблюдается.</w:t>
            </w:r>
          </w:p>
        </w:tc>
        <w:tc>
          <w:tcPr>
            <w:tcW w:w="3966" w:type="dxa"/>
          </w:tcPr>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1: частично соблюдается.</w:t>
            </w:r>
          </w:p>
          <w:p w:rsidR="00C81778" w:rsidRDefault="00AB0D4E">
            <w:pPr>
              <w:spacing w:after="200" w:line="276" w:lineRule="auto"/>
              <w:jc w:val="both"/>
              <w:rPr>
                <w:rFonts w:ascii="Arial" w:eastAsia="Times New Roman" w:hAnsi="Arial" w:cs="Arial"/>
                <w:sz w:val="18"/>
                <w:szCs w:val="18"/>
              </w:rPr>
            </w:pPr>
            <w:r>
              <w:rPr>
                <w:rFonts w:ascii="Arial" w:eastAsia="Times New Roman" w:hAnsi="Arial" w:cs="Arial"/>
                <w:sz w:val="18"/>
                <w:szCs w:val="18"/>
              </w:rPr>
              <w:t>В Обществе не утвержден отдельный внутренний документ, определяющий формализованную процедуру оценки (самооценки) качества работы Совета директоров. При этом возможность проведения такой оценки закреплена в Положении о Комитете Совета директоров по кадрам и вознаграждениям (пп.2.2.6 п.2.2 ст.2 Положения о Комитете Совета директоров по кадрам и вознаграждениям ПАО «ОГК-2»).</w:t>
            </w:r>
          </w:p>
          <w:p w:rsidR="00C81778" w:rsidRDefault="00AB0D4E">
            <w:pPr>
              <w:spacing w:after="200" w:line="276" w:lineRule="auto"/>
              <w:jc w:val="both"/>
              <w:rPr>
                <w:rFonts w:ascii="Arial" w:eastAsia="Times New Roman" w:hAnsi="Arial" w:cs="Arial"/>
                <w:sz w:val="18"/>
                <w:szCs w:val="18"/>
              </w:rPr>
            </w:pPr>
            <w:r>
              <w:rPr>
                <w:rFonts w:ascii="Arial" w:eastAsia="Times New Roman" w:hAnsi="Arial" w:cs="Arial"/>
                <w:sz w:val="18"/>
                <w:szCs w:val="18"/>
              </w:rPr>
              <w:t xml:space="preserve">В настоящее время, Обществом проведена оценка деятельности Совета директоров и комитетов по итогам 2023-2024гг. Также, в 2024 г. Общество планирует утвердить внутренний документ, определяющий порядок оценки (самооценки) Совета директоров с учетом «Методических </w:t>
            </w:r>
            <w:r>
              <w:rPr>
                <w:rFonts w:ascii="Arial" w:eastAsia="Times New Roman" w:hAnsi="Arial" w:cs="Arial"/>
                <w:sz w:val="18"/>
                <w:szCs w:val="18"/>
              </w:rPr>
              <w:lastRenderedPageBreak/>
              <w:t>рекомендаций по организации и проведению самооценки эффективности совета директоров в публичных акционерных обществах», подготовленных Банком России.</w:t>
            </w:r>
          </w:p>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2: соблюдается.</w:t>
            </w:r>
          </w:p>
          <w:p w:rsidR="00C81778" w:rsidRDefault="00AB0D4E">
            <w:pPr>
              <w:spacing w:after="0" w:line="276" w:lineRule="auto"/>
              <w:jc w:val="both"/>
              <w:rPr>
                <w:rFonts w:ascii="Arial" w:eastAsia="Calibri" w:hAnsi="Arial"/>
                <w:sz w:val="18"/>
              </w:rPr>
            </w:pPr>
            <w:r>
              <w:rPr>
                <w:rFonts w:ascii="Arial" w:eastAsia="Calibri" w:hAnsi="Arial" w:cs="Arial"/>
                <w:bCs/>
                <w:sz w:val="18"/>
              </w:rPr>
              <w:t>Комментарий к соблюдению критерия 2: в настоящее время, Обществом проведена оценка деятельности Совета директоров и комитетов по итогам 2023-2024 гг., результаты которой рассмотрены Советом директоров ПАО «ОГК-</w:t>
            </w:r>
            <w:proofErr w:type="gramStart"/>
            <w:r>
              <w:rPr>
                <w:rFonts w:ascii="Arial" w:eastAsia="Calibri" w:hAnsi="Arial" w:cs="Arial"/>
                <w:bCs/>
                <w:sz w:val="18"/>
              </w:rPr>
              <w:t>2»  в</w:t>
            </w:r>
            <w:proofErr w:type="gramEnd"/>
            <w:r>
              <w:rPr>
                <w:rFonts w:ascii="Arial" w:eastAsia="Calibri" w:hAnsi="Arial" w:cs="Arial"/>
                <w:bCs/>
                <w:sz w:val="18"/>
              </w:rPr>
              <w:t xml:space="preserve"> 2024 г. В рамках оценки, в том числе, была проведена индивидуальная оценка каждого члена Совета директоров и Совета директоров в целом.</w:t>
            </w:r>
          </w:p>
          <w:p w:rsidR="00C81778" w:rsidRDefault="00C81778">
            <w:pPr>
              <w:spacing w:after="0" w:line="276" w:lineRule="auto"/>
              <w:jc w:val="both"/>
              <w:rPr>
                <w:rFonts w:ascii="Arial" w:eastAsia="Times New Roman" w:hAnsi="Arial" w:cs="Arial"/>
                <w:sz w:val="18"/>
                <w:szCs w:val="18"/>
                <w:lang w:eastAsia="ru-RU"/>
              </w:rPr>
            </w:pPr>
          </w:p>
          <w:p w:rsidR="00C81778" w:rsidRDefault="00AB0D4E">
            <w:pPr>
              <w:spacing w:after="0" w:line="276" w:lineRule="auto"/>
              <w:jc w:val="both"/>
              <w:rPr>
                <w:rFonts w:ascii="Arial" w:eastAsia="Calibri" w:hAnsi="Arial" w:cs="Times New Roman"/>
                <w:sz w:val="18"/>
                <w:u w:val="single"/>
              </w:rPr>
            </w:pPr>
            <w:r>
              <w:rPr>
                <w:rFonts w:ascii="Arial" w:eastAsia="Calibri" w:hAnsi="Arial" w:cs="Times New Roman"/>
                <w:sz w:val="18"/>
                <w:u w:val="single"/>
              </w:rPr>
              <w:t>Критерий 3: частично соблюдается.</w:t>
            </w:r>
          </w:p>
          <w:p w:rsidR="00C81778" w:rsidRDefault="00AB0D4E">
            <w:pPr>
              <w:spacing w:after="0" w:line="276" w:lineRule="auto"/>
              <w:jc w:val="both"/>
              <w:rPr>
                <w:rFonts w:ascii="Arial" w:eastAsia="Times New Roman" w:hAnsi="Arial" w:cs="Arial"/>
                <w:sz w:val="18"/>
                <w:szCs w:val="18"/>
              </w:rPr>
            </w:pPr>
            <w:r>
              <w:rPr>
                <w:rFonts w:ascii="Arial" w:eastAsia="Calibri" w:hAnsi="Arial" w:cs="Times New Roman"/>
                <w:sz w:val="18"/>
              </w:rPr>
              <w:t xml:space="preserve">В отчетном году Совет директоров рассмотрел вопрос о результатах оценки (самооценки) деятельности Совета директоров и комитетов, а также членов Совета директоров заочно. В настоящее время, вследствие действовавших в течение прошлого отчетного периода ограничений, в Обществе сложилась практика проведения заседаний Совета директоров преимущественно в формате заочного голосования. При этом, в ходе подготовки и во время проведения заседаний члены Совета директоров имеют возможность обмениваться мнениями, высказывать свою позицию, в том числе при взаимодействии с Корпоративным секретарем Общества. В то же время, Общество в 2024-2025 </w:t>
            </w:r>
            <w:proofErr w:type="spellStart"/>
            <w:r>
              <w:rPr>
                <w:rFonts w:ascii="Arial" w:eastAsia="Calibri" w:hAnsi="Arial" w:cs="Times New Roman"/>
                <w:sz w:val="18"/>
              </w:rPr>
              <w:t>г.г</w:t>
            </w:r>
            <w:proofErr w:type="spellEnd"/>
            <w:r>
              <w:rPr>
                <w:rFonts w:ascii="Arial" w:eastAsia="Calibri" w:hAnsi="Arial" w:cs="Times New Roman"/>
                <w:sz w:val="18"/>
              </w:rPr>
              <w:t xml:space="preserve">. планирует проведение заседания Совета директоров, включающего в повестку дня вопрос о рассмотрении результатов оценки </w:t>
            </w:r>
            <w:r>
              <w:rPr>
                <w:rFonts w:ascii="Arial" w:eastAsia="Calibri" w:hAnsi="Arial" w:cs="Times New Roman"/>
                <w:sz w:val="18"/>
              </w:rPr>
              <w:lastRenderedPageBreak/>
              <w:t>деятельности Совета директоров и комитетов в очной форме или с использованием видео-конференц-связи.</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2.9.2</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Оценка работы </w:t>
            </w:r>
            <w:r>
              <w:rPr>
                <w:rFonts w:ascii="Arial" w:eastAsia="Times New Roman" w:hAnsi="Arial" w:cs="Arial"/>
                <w:sz w:val="18"/>
                <w:szCs w:val="18"/>
              </w:rPr>
              <w:t>Совета</w:t>
            </w:r>
            <w:r>
              <w:rPr>
                <w:rFonts w:ascii="Arial" w:eastAsia="Calibri" w:hAnsi="Arial" w:cs="Times New Roman"/>
                <w:sz w:val="18"/>
              </w:rPr>
              <w:t xml:space="preserve"> директоров, комитетов и членов </w:t>
            </w:r>
            <w:r>
              <w:rPr>
                <w:rFonts w:ascii="Arial" w:eastAsia="Times New Roman" w:hAnsi="Arial" w:cs="Arial"/>
                <w:sz w:val="18"/>
                <w:szCs w:val="18"/>
              </w:rPr>
              <w:t>Совета</w:t>
            </w:r>
            <w:r>
              <w:rPr>
                <w:rFonts w:ascii="Arial" w:eastAsia="Calibri" w:hAnsi="Arial" w:cs="Times New Roman"/>
                <w:sz w:val="18"/>
              </w:rPr>
              <w:t xml:space="preserve"> директоров осуществляется на регулярной основе не реже одного раза в год. Для проведения независимой оценки качества работы </w:t>
            </w:r>
            <w:r>
              <w:rPr>
                <w:rFonts w:ascii="Arial" w:eastAsia="Times New Roman" w:hAnsi="Arial" w:cs="Arial"/>
                <w:sz w:val="18"/>
                <w:szCs w:val="18"/>
              </w:rPr>
              <w:t>Совета</w:t>
            </w:r>
            <w:r>
              <w:rPr>
                <w:rFonts w:ascii="Arial" w:eastAsia="Calibri" w:hAnsi="Arial" w:cs="Times New Roman"/>
                <w:sz w:val="18"/>
              </w:rPr>
              <w:t xml:space="preserve"> директоров не реже одного раза в три года привлекается внешняя организация (консультант</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78"/>
              </w:numPr>
              <w:tabs>
                <w:tab w:val="left" w:pos="330"/>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 xml:space="preserve">Для проведения независимой оценки качества работы </w:t>
            </w:r>
            <w:r>
              <w:rPr>
                <w:rFonts w:ascii="Arial" w:eastAsia="Times New Roman" w:hAnsi="Arial" w:cs="Arial"/>
                <w:sz w:val="18"/>
                <w:szCs w:val="18"/>
              </w:rPr>
              <w:t>Совета</w:t>
            </w:r>
            <w:r>
              <w:rPr>
                <w:rFonts w:ascii="Arial" w:eastAsia="Calibri" w:hAnsi="Arial" w:cs="Times New Roman"/>
                <w:sz w:val="18"/>
              </w:rPr>
              <w:t xml:space="preserve"> директоров в течение трех последних отчетных периодов</w:t>
            </w:r>
            <w:r>
              <w:rPr>
                <w:rFonts w:ascii="Arial" w:eastAsia="Times New Roman" w:hAnsi="Arial" w:cs="Arial"/>
                <w:sz w:val="18"/>
                <w:szCs w:val="18"/>
              </w:rPr>
              <w:t>,</w:t>
            </w:r>
            <w:r>
              <w:rPr>
                <w:rFonts w:ascii="Arial" w:eastAsia="Calibri" w:hAnsi="Arial" w:cs="Times New Roman"/>
                <w:sz w:val="18"/>
              </w:rPr>
              <w:t xml:space="preserve"> по меньшей мере</w:t>
            </w:r>
            <w:r>
              <w:rPr>
                <w:rFonts w:ascii="Arial" w:eastAsia="Times New Roman" w:hAnsi="Arial" w:cs="Arial"/>
                <w:sz w:val="18"/>
                <w:szCs w:val="18"/>
              </w:rPr>
              <w:t>,</w:t>
            </w:r>
            <w:r>
              <w:rPr>
                <w:rFonts w:ascii="Arial" w:eastAsia="Calibri" w:hAnsi="Arial" w:cs="Times New Roman"/>
                <w:sz w:val="18"/>
              </w:rPr>
              <w:t xml:space="preserve"> один раз </w:t>
            </w:r>
            <w:r>
              <w:rPr>
                <w:rFonts w:ascii="Arial" w:eastAsia="Times New Roman" w:hAnsi="Arial" w:cs="Arial"/>
                <w:sz w:val="18"/>
                <w:szCs w:val="18"/>
              </w:rPr>
              <w:t>Обществом</w:t>
            </w:r>
            <w:r>
              <w:rPr>
                <w:rFonts w:ascii="Arial" w:eastAsia="Calibri" w:hAnsi="Arial" w:cs="Times New Roman"/>
                <w:sz w:val="18"/>
              </w:rPr>
              <w:t xml:space="preserve"> привлекалась внешняя организация (консультант</w:t>
            </w:r>
            <w:r>
              <w:rPr>
                <w:rFonts w:ascii="Arial" w:eastAsia="Times New Roman" w:hAnsi="Arial" w:cs="Arial"/>
                <w:sz w:val="18"/>
                <w:szCs w:val="18"/>
              </w:rPr>
              <w:t>).</w:t>
            </w:r>
          </w:p>
        </w:tc>
        <w:tc>
          <w:tcPr>
            <w:tcW w:w="2692" w:type="dxa"/>
            <w:shd w:val="clear" w:color="auto" w:fill="DBE5F1"/>
          </w:tcPr>
          <w:p w:rsidR="00C81778" w:rsidRDefault="00AB0D4E">
            <w:pPr>
              <w:widowControl w:val="0"/>
              <w:spacing w:after="200" w:line="276" w:lineRule="auto"/>
              <w:rPr>
                <w:rFonts w:ascii="Arial" w:eastAsia="Calibri" w:hAnsi="Arial" w:cs="Times New Roman"/>
                <w:sz w:val="18"/>
              </w:rPr>
            </w:pPr>
            <w:r>
              <w:rPr>
                <w:rFonts w:ascii="Arial" w:eastAsia="Calibri" w:hAnsi="Arial" w:cs="Times New Roman"/>
                <w:sz w:val="18"/>
              </w:rPr>
              <w:t>Соблюдается</w:t>
            </w:r>
          </w:p>
        </w:tc>
        <w:tc>
          <w:tcPr>
            <w:tcW w:w="3966" w:type="dxa"/>
            <w:shd w:val="clear" w:color="auto" w:fill="DBE5F1"/>
          </w:tcPr>
          <w:p w:rsidR="00C81778" w:rsidRDefault="00AB0D4E">
            <w:pPr>
              <w:spacing w:after="0" w:line="276" w:lineRule="auto"/>
              <w:jc w:val="both"/>
              <w:rPr>
                <w:rFonts w:ascii="Arial" w:eastAsia="Calibri" w:hAnsi="Arial" w:cs="Times New Roman"/>
                <w:sz w:val="18"/>
              </w:rPr>
            </w:pPr>
            <w:r>
              <w:rPr>
                <w:rFonts w:ascii="Arial" w:eastAsia="Calibri" w:hAnsi="Arial" w:cs="Times New Roman"/>
                <w:sz w:val="18"/>
                <w:u w:val="single"/>
              </w:rPr>
              <w:t>Критерий 1: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3.1</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Корпоративный секретарь </w:t>
            </w:r>
            <w:r>
              <w:rPr>
                <w:rFonts w:ascii="Arial" w:eastAsia="Calibri" w:hAnsi="Arial" w:cs="Arial"/>
                <w:b/>
                <w:sz w:val="18"/>
                <w:szCs w:val="18"/>
              </w:rPr>
              <w:t>Общества осуществляет</w:t>
            </w:r>
            <w:r>
              <w:rPr>
                <w:rFonts w:ascii="Arial" w:eastAsia="Calibri" w:hAnsi="Arial" w:cs="Times New Roman"/>
                <w:b/>
                <w:sz w:val="18"/>
              </w:rPr>
              <w:t xml:space="preserve"> эффективное текущее взаимодействие с акционерами, координацию действий </w:t>
            </w:r>
            <w:r>
              <w:rPr>
                <w:rFonts w:ascii="Arial" w:eastAsia="Calibri" w:hAnsi="Arial" w:cs="Arial"/>
                <w:b/>
                <w:sz w:val="18"/>
                <w:szCs w:val="18"/>
              </w:rPr>
              <w:t>Общества</w:t>
            </w:r>
            <w:r>
              <w:rPr>
                <w:rFonts w:ascii="Arial" w:eastAsia="Calibri" w:hAnsi="Arial" w:cs="Times New Roman"/>
                <w:b/>
                <w:sz w:val="18"/>
              </w:rPr>
              <w:t xml:space="preserve"> по защите прав и интересов акционеров, поддержку эффективной работы </w:t>
            </w:r>
            <w:r>
              <w:rPr>
                <w:rFonts w:ascii="Arial" w:eastAsia="Calibri" w:hAnsi="Arial" w:cs="Arial"/>
                <w:b/>
                <w:sz w:val="18"/>
                <w:szCs w:val="18"/>
              </w:rPr>
              <w:t>Совета</w:t>
            </w:r>
            <w:r>
              <w:rPr>
                <w:rFonts w:ascii="Arial" w:eastAsia="Calibri" w:hAnsi="Arial" w:cs="Times New Roman"/>
                <w:b/>
                <w:sz w:val="18"/>
              </w:rPr>
              <w:t xml:space="preserve"> директоров</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3.1.1</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Корпоративный секретарь обладает знаниями, опытом и квалификацией, достаточными для исполнения возложенных на него обязанностей, безупречной репутацией и пользуется доверием акционеров</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79"/>
              </w:numPr>
              <w:tabs>
                <w:tab w:val="left" w:pos="27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На сайте </w:t>
            </w:r>
            <w:r>
              <w:rPr>
                <w:rFonts w:ascii="Arial" w:eastAsia="Calibri" w:hAnsi="Arial" w:cs="Arial"/>
                <w:sz w:val="18"/>
                <w:szCs w:val="18"/>
              </w:rPr>
              <w:t>Общества</w:t>
            </w:r>
            <w:r>
              <w:rPr>
                <w:rFonts w:ascii="Arial" w:eastAsia="Calibri" w:hAnsi="Arial" w:cs="Times New Roman"/>
                <w:sz w:val="18"/>
              </w:rPr>
              <w:t xml:space="preserve"> в сети Интернет и Годовом отчете представлена биографическая информация о корпоративном секретаре</w:t>
            </w:r>
            <w:r>
              <w:rPr>
                <w:rFonts w:eastAsia="Calibri" w:cs="Times New Roman"/>
              </w:rPr>
              <w:t xml:space="preserve"> </w:t>
            </w:r>
            <w:r>
              <w:rPr>
                <w:rFonts w:ascii="Arial" w:eastAsia="Calibri" w:hAnsi="Arial" w:cs="Times New Roman"/>
                <w:sz w:val="18"/>
              </w:rPr>
              <w:t>(включая сведения о возрасте, образовании, квалификации, опыте), а также сведения о должностях в органах управления иных юридических лиц, занимаемых корпоративным секретарем в течение не менее чем пяти последних лет.</w:t>
            </w:r>
          </w:p>
        </w:tc>
        <w:tc>
          <w:tcPr>
            <w:tcW w:w="2692" w:type="dxa"/>
            <w:shd w:val="clear" w:color="auto" w:fill="DBE5F1"/>
          </w:tcPr>
          <w:p w:rsidR="00C81778" w:rsidRDefault="00AB0D4E">
            <w:pPr>
              <w:widowControl w:val="0"/>
              <w:spacing w:after="200" w:line="276" w:lineRule="auto"/>
              <w:rPr>
                <w:rFonts w:ascii="Arial" w:eastAsia="Calibri" w:hAnsi="Arial" w:cs="Times New Roman"/>
                <w:sz w:val="18"/>
              </w:rPr>
            </w:pPr>
            <w:r>
              <w:rPr>
                <w:rFonts w:ascii="Arial" w:eastAsia="Calibri" w:hAnsi="Arial" w:cs="Arial"/>
                <w:sz w:val="18"/>
                <w:szCs w:val="18"/>
              </w:rPr>
              <w:t>Частично соблюдается.</w:t>
            </w:r>
          </w:p>
        </w:tc>
        <w:tc>
          <w:tcPr>
            <w:tcW w:w="3966" w:type="dxa"/>
            <w:shd w:val="clear" w:color="auto" w:fill="DBE5F1"/>
          </w:tcPr>
          <w:p w:rsidR="00C81778" w:rsidRDefault="00AB0D4E">
            <w:pPr>
              <w:spacing w:after="200" w:line="276" w:lineRule="auto"/>
              <w:jc w:val="both"/>
              <w:rPr>
                <w:rFonts w:ascii="Arial" w:eastAsia="Times New Roman" w:hAnsi="Arial" w:cs="Arial"/>
                <w:sz w:val="18"/>
                <w:szCs w:val="18"/>
                <w:u w:val="single"/>
              </w:rPr>
            </w:pPr>
            <w:r>
              <w:rPr>
                <w:rFonts w:ascii="Arial" w:eastAsia="Times New Roman" w:hAnsi="Arial" w:cs="Arial"/>
                <w:sz w:val="18"/>
                <w:szCs w:val="18"/>
                <w:u w:val="single"/>
              </w:rPr>
              <w:t>Критерий 1: частично соблюдается.</w:t>
            </w:r>
          </w:p>
          <w:p w:rsidR="00C81778" w:rsidRDefault="00AB0D4E">
            <w:pPr>
              <w:spacing w:after="200" w:line="276" w:lineRule="auto"/>
              <w:jc w:val="both"/>
              <w:rPr>
                <w:rFonts w:ascii="Arial" w:eastAsia="Calibri" w:hAnsi="Arial" w:cs="Times New Roman"/>
                <w:sz w:val="18"/>
              </w:rPr>
            </w:pPr>
            <w:r>
              <w:rPr>
                <w:rFonts w:ascii="Arial" w:eastAsia="Calibri" w:hAnsi="Arial" w:cs="Times New Roman"/>
                <w:sz w:val="18"/>
              </w:rPr>
              <w:t xml:space="preserve">На сайте </w:t>
            </w:r>
            <w:r>
              <w:rPr>
                <w:rFonts w:ascii="Arial" w:eastAsia="Calibri" w:hAnsi="Arial" w:cs="Arial"/>
                <w:sz w:val="18"/>
                <w:szCs w:val="18"/>
              </w:rPr>
              <w:t>Общества</w:t>
            </w:r>
            <w:r>
              <w:rPr>
                <w:rFonts w:ascii="Arial" w:eastAsia="Calibri" w:hAnsi="Arial" w:cs="Times New Roman"/>
                <w:sz w:val="18"/>
              </w:rPr>
              <w:t xml:space="preserve"> в сети Интернет раскрыта часть биографической информации о корпоративном секретаре, а именно сведения об образовании, а также информация о месте работы, поскольку </w:t>
            </w:r>
            <w:r>
              <w:rPr>
                <w:rFonts w:ascii="Arial" w:eastAsia="Calibri" w:hAnsi="Arial" w:cs="Arial"/>
                <w:sz w:val="18"/>
                <w:szCs w:val="18"/>
              </w:rPr>
              <w:t>согласно пп.1 Постановления Правительства РФ от 12 марта 2022 г. № 351 в связи с тем, что существует риск введения мер ограничительного характера против эмитента/лиц, входящих в состав органов управления эмитента со стороны иностранных государств, данная информация не раскрывалась в годовом отчете за 2022 год.</w:t>
            </w:r>
          </w:p>
          <w:p w:rsidR="00C81778" w:rsidRDefault="00AB0D4E">
            <w:pPr>
              <w:spacing w:after="200" w:line="276" w:lineRule="auto"/>
              <w:jc w:val="both"/>
              <w:rPr>
                <w:rFonts w:ascii="Arial" w:eastAsia="Calibri" w:hAnsi="Arial" w:cs="Times New Roman"/>
                <w:sz w:val="18"/>
              </w:rPr>
            </w:pPr>
            <w:r>
              <w:rPr>
                <w:rFonts w:ascii="Arial" w:eastAsia="Calibri" w:hAnsi="Arial" w:cs="Arial"/>
                <w:sz w:val="18"/>
                <w:szCs w:val="18"/>
              </w:rPr>
              <w:t xml:space="preserve">Общество намерено представить </w:t>
            </w:r>
            <w:r>
              <w:rPr>
                <w:rFonts w:ascii="Arial" w:eastAsia="Calibri" w:hAnsi="Arial" w:cs="Times New Roman"/>
                <w:sz w:val="18"/>
              </w:rPr>
              <w:t>биографическую информацию о корпоративном секретаре</w:t>
            </w:r>
            <w:r>
              <w:rPr>
                <w:rFonts w:eastAsia="Calibri" w:cs="Times New Roman"/>
              </w:rPr>
              <w:t xml:space="preserve"> </w:t>
            </w:r>
            <w:r>
              <w:rPr>
                <w:rFonts w:ascii="Arial" w:eastAsia="Calibri" w:hAnsi="Arial" w:cs="Times New Roman"/>
                <w:sz w:val="18"/>
              </w:rPr>
              <w:t xml:space="preserve">(включая сведения о возрасте, образовании, квалификации, опыте), а также сведения о должностях в органах управления иных юридических лиц, занимаемых </w:t>
            </w:r>
            <w:r>
              <w:rPr>
                <w:rFonts w:ascii="Arial" w:eastAsia="Calibri" w:hAnsi="Arial" w:cs="Times New Roman"/>
                <w:sz w:val="18"/>
              </w:rPr>
              <w:lastRenderedPageBreak/>
              <w:t xml:space="preserve">корпоративным секретарем в течение не менее чем пяти </w:t>
            </w:r>
            <w:proofErr w:type="gramStart"/>
            <w:r>
              <w:rPr>
                <w:rFonts w:ascii="Arial" w:eastAsia="Calibri" w:hAnsi="Arial" w:cs="Times New Roman"/>
                <w:sz w:val="18"/>
              </w:rPr>
              <w:t>последних лет после исключения риска введения</w:t>
            </w:r>
            <w:proofErr w:type="gramEnd"/>
            <w:r>
              <w:rPr>
                <w:rFonts w:ascii="Arial" w:eastAsia="Calibri" w:hAnsi="Arial" w:cs="Times New Roman"/>
                <w:sz w:val="18"/>
              </w:rPr>
              <w:t xml:space="preserve"> мер </w:t>
            </w:r>
            <w:r>
              <w:rPr>
                <w:rFonts w:ascii="Arial" w:eastAsia="Calibri" w:hAnsi="Arial" w:cs="Arial"/>
                <w:sz w:val="18"/>
                <w:szCs w:val="18"/>
              </w:rPr>
              <w:t>ограничительного характера против эмитента/лиц, входящих в состав органов управления эмитента со стороны иностранных государств.</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3.1.2</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Корпоративный секретарь обладает достаточной независимостью от исполнительных органов </w:t>
            </w:r>
            <w:r>
              <w:rPr>
                <w:rFonts w:ascii="Arial" w:eastAsia="Calibri" w:hAnsi="Arial" w:cs="Arial"/>
                <w:sz w:val="18"/>
                <w:szCs w:val="18"/>
              </w:rPr>
              <w:t>Общества</w:t>
            </w:r>
            <w:r>
              <w:rPr>
                <w:rFonts w:ascii="Arial" w:eastAsia="Calibri" w:hAnsi="Arial" w:cs="Times New Roman"/>
                <w:sz w:val="18"/>
              </w:rPr>
              <w:t xml:space="preserve"> и имеет необходимые полномочия и ресурсы для выполнения поставленных перед ним задач</w:t>
            </w:r>
            <w:r>
              <w:rPr>
                <w:rFonts w:ascii="Arial" w:eastAsia="Calibri" w:hAnsi="Arial" w:cs="Arial"/>
                <w:sz w:val="18"/>
                <w:szCs w:val="18"/>
              </w:rPr>
              <w:t>.</w:t>
            </w:r>
          </w:p>
        </w:tc>
        <w:tc>
          <w:tcPr>
            <w:tcW w:w="3827" w:type="dxa"/>
          </w:tcPr>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Times New Roman" w:hAnsi="Arial" w:cs="Arial"/>
                <w:sz w:val="20"/>
                <w:szCs w:val="20"/>
                <w:lang w:eastAsia="ru-RU"/>
              </w:rPr>
              <w:t xml:space="preserve">1. </w:t>
            </w:r>
            <w:r>
              <w:rPr>
                <w:rFonts w:ascii="Arial" w:eastAsia="Calibri" w:hAnsi="Arial" w:cs="Times New Roman"/>
                <w:sz w:val="18"/>
              </w:rPr>
              <w:t>В Обществе принят и раскрыт внутренний документ - Положение о корпоративном секретаре.</w:t>
            </w:r>
          </w:p>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Times New Roman" w:hAnsi="Arial" w:cs="Arial"/>
                <w:sz w:val="20"/>
                <w:szCs w:val="20"/>
                <w:lang w:eastAsia="ru-RU"/>
              </w:rPr>
              <w:t xml:space="preserve">2. </w:t>
            </w:r>
            <w:r>
              <w:rPr>
                <w:rFonts w:ascii="Arial" w:eastAsia="Calibri" w:hAnsi="Arial" w:cs="Arial"/>
                <w:sz w:val="18"/>
                <w:szCs w:val="18"/>
                <w:lang w:eastAsia="ru-RU"/>
              </w:rPr>
              <w:t xml:space="preserve">Совет директоров </w:t>
            </w:r>
            <w:r>
              <w:rPr>
                <w:rFonts w:ascii="Arial" w:eastAsia="Times New Roman" w:hAnsi="Arial" w:cs="Arial"/>
                <w:sz w:val="18"/>
                <w:szCs w:val="18"/>
                <w:lang w:eastAsia="ru-RU"/>
              </w:rPr>
              <w:t>утверждает кандидатуру на должность</w:t>
            </w:r>
            <w:r>
              <w:rPr>
                <w:rFonts w:ascii="Arial" w:eastAsia="Calibri" w:hAnsi="Arial" w:cs="Arial"/>
                <w:sz w:val="18"/>
                <w:szCs w:val="18"/>
                <w:lang w:eastAsia="ru-RU"/>
              </w:rPr>
              <w:t xml:space="preserve"> корпоративного секретаря</w:t>
            </w:r>
            <w:r>
              <w:rPr>
                <w:rFonts w:ascii="Arial" w:eastAsia="Times New Roman" w:hAnsi="Arial" w:cs="Arial"/>
                <w:sz w:val="18"/>
                <w:szCs w:val="18"/>
                <w:lang w:eastAsia="ru-RU"/>
              </w:rPr>
              <w:t xml:space="preserve"> и прекращает его полномочия, рассматривает вопрос о выплате ему дополнительного вознаграждения.</w:t>
            </w:r>
          </w:p>
          <w:p w:rsidR="00C81778" w:rsidRDefault="00AB0D4E">
            <w:pPr>
              <w:widowControl w:val="0"/>
              <w:spacing w:after="200" w:line="276" w:lineRule="auto"/>
              <w:jc w:val="both"/>
              <w:rPr>
                <w:rFonts w:ascii="Arial" w:eastAsia="Times New Roman" w:hAnsi="Arial" w:cs="Arial"/>
                <w:sz w:val="20"/>
                <w:szCs w:val="20"/>
                <w:lang w:eastAsia="ru-RU"/>
              </w:rPr>
            </w:pPr>
            <w:r>
              <w:rPr>
                <w:rFonts w:ascii="Arial" w:eastAsia="Times New Roman" w:hAnsi="Arial" w:cs="Arial"/>
                <w:sz w:val="20"/>
                <w:szCs w:val="20"/>
                <w:lang w:eastAsia="ru-RU"/>
              </w:rPr>
              <w:t xml:space="preserve">3. </w:t>
            </w:r>
            <w:r>
              <w:rPr>
                <w:rFonts w:ascii="Arial" w:eastAsia="Times New Roman" w:hAnsi="Arial" w:cs="Arial"/>
                <w:sz w:val="18"/>
                <w:szCs w:val="18"/>
                <w:lang w:eastAsia="ru-RU"/>
              </w:rPr>
              <w:t>Во внутренних документах Общества закреплено право корпоративного секретаря запрашивать, получать документы Общества и информацию у органов управления, структурных подразделений и должностных лиц Общества</w:t>
            </w:r>
            <w:r>
              <w:rPr>
                <w:rFonts w:ascii="Arial" w:eastAsia="Calibri" w:hAnsi="Arial" w:cs="Arial"/>
                <w:sz w:val="18"/>
                <w:szCs w:val="18"/>
                <w:lang w:eastAsia="ru-RU"/>
              </w:rPr>
              <w:t>.</w:t>
            </w:r>
          </w:p>
        </w:tc>
        <w:tc>
          <w:tcPr>
            <w:tcW w:w="2692" w:type="dxa"/>
          </w:tcPr>
          <w:p w:rsidR="00C81778" w:rsidRDefault="00AB0D4E">
            <w:pPr>
              <w:widowControl w:val="0"/>
              <w:spacing w:after="0" w:line="240" w:lineRule="auto"/>
              <w:ind w:left="31"/>
              <w:contextualSpacing/>
              <w:rPr>
                <w:rFonts w:ascii="Arial" w:eastAsia="Times New Roman" w:hAnsi="Arial" w:cs="Arial"/>
                <w:sz w:val="18"/>
                <w:szCs w:val="18"/>
              </w:rPr>
            </w:pPr>
            <w:r>
              <w:rPr>
                <w:rFonts w:ascii="Arial" w:eastAsia="Times New Roman" w:hAnsi="Arial" w:cs="Arial"/>
                <w:sz w:val="18"/>
                <w:szCs w:val="18"/>
              </w:rPr>
              <w:t>Соблюдается.</w:t>
            </w:r>
          </w:p>
          <w:p w:rsidR="00C81778" w:rsidRDefault="00C81778">
            <w:pPr>
              <w:widowControl w:val="0"/>
              <w:spacing w:after="0" w:line="240" w:lineRule="auto"/>
              <w:ind w:left="31"/>
              <w:contextualSpacing/>
              <w:rPr>
                <w:rFonts w:ascii="Arial" w:eastAsia="Calibri" w:hAnsi="Arial" w:cs="Times New Roman"/>
                <w:sz w:val="18"/>
              </w:rPr>
            </w:pPr>
          </w:p>
        </w:tc>
        <w:tc>
          <w:tcPr>
            <w:tcW w:w="3966" w:type="dxa"/>
          </w:tcPr>
          <w:p w:rsidR="00C81778" w:rsidRDefault="00AB0D4E">
            <w:pPr>
              <w:widowControl w:val="0"/>
              <w:spacing w:after="0" w:line="240" w:lineRule="auto"/>
              <w:ind w:left="31"/>
              <w:contextualSpacing/>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AB0D4E">
            <w:pPr>
              <w:widowControl w:val="0"/>
              <w:spacing w:after="0" w:line="240" w:lineRule="auto"/>
              <w:ind w:left="31"/>
              <w:contextualSpacing/>
              <w:rPr>
                <w:rFonts w:ascii="Arial" w:eastAsia="Calibri" w:hAnsi="Arial" w:cs="Arial"/>
                <w:sz w:val="18"/>
                <w:szCs w:val="18"/>
                <w:u w:val="single"/>
              </w:rPr>
            </w:pPr>
            <w:r>
              <w:rPr>
                <w:rFonts w:ascii="Arial" w:eastAsia="Calibri" w:hAnsi="Arial" w:cs="Arial"/>
                <w:sz w:val="18"/>
                <w:szCs w:val="18"/>
                <w:u w:val="single"/>
              </w:rPr>
              <w:t>Критерий 2: соблюдается.</w:t>
            </w:r>
          </w:p>
          <w:p w:rsidR="00C81778" w:rsidRDefault="00AB0D4E">
            <w:pPr>
              <w:widowControl w:val="0"/>
              <w:spacing w:after="0" w:line="240" w:lineRule="auto"/>
              <w:ind w:left="31"/>
              <w:contextualSpacing/>
              <w:rPr>
                <w:rFonts w:ascii="Arial" w:eastAsia="Calibri" w:hAnsi="Arial" w:cs="Times New Roman"/>
                <w:sz w:val="18"/>
              </w:rPr>
            </w:pPr>
            <w:r>
              <w:rPr>
                <w:rFonts w:ascii="Arial" w:eastAsia="Calibri" w:hAnsi="Arial" w:cs="Arial"/>
                <w:sz w:val="18"/>
                <w:szCs w:val="18"/>
                <w:u w:val="single"/>
              </w:rPr>
              <w:t>Критерий 3: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4.1</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Уровень выплачиваемого </w:t>
            </w:r>
            <w:r>
              <w:rPr>
                <w:rFonts w:ascii="Arial" w:eastAsia="Calibri" w:hAnsi="Arial" w:cs="Arial"/>
                <w:b/>
                <w:sz w:val="18"/>
                <w:szCs w:val="18"/>
              </w:rPr>
              <w:t>Обществом</w:t>
            </w:r>
            <w:r>
              <w:rPr>
                <w:rFonts w:ascii="Arial" w:eastAsia="Calibri" w:hAnsi="Arial" w:cs="Times New Roman"/>
                <w:b/>
                <w:sz w:val="18"/>
              </w:rPr>
              <w:t xml:space="preserve"> вознаграждения достаточен для привлечения, мотивации и удержания лиц, обладающих необходимой для </w:t>
            </w:r>
            <w:r>
              <w:rPr>
                <w:rFonts w:ascii="Arial" w:eastAsia="Calibri" w:hAnsi="Arial" w:cs="Arial"/>
                <w:b/>
                <w:sz w:val="18"/>
                <w:szCs w:val="18"/>
              </w:rPr>
              <w:t>Общества</w:t>
            </w:r>
            <w:r>
              <w:rPr>
                <w:rFonts w:ascii="Arial" w:eastAsia="Calibri" w:hAnsi="Arial" w:cs="Times New Roman"/>
                <w:b/>
                <w:sz w:val="18"/>
              </w:rPr>
              <w:t xml:space="preserve"> компетенцией и квалификацией. Выплата вознаграждения членам </w:t>
            </w:r>
            <w:r>
              <w:rPr>
                <w:rFonts w:ascii="Arial" w:eastAsia="Calibri" w:hAnsi="Arial" w:cs="Arial"/>
                <w:b/>
                <w:sz w:val="18"/>
                <w:szCs w:val="18"/>
              </w:rPr>
              <w:t>Совета</w:t>
            </w:r>
            <w:r>
              <w:rPr>
                <w:rFonts w:ascii="Arial" w:eastAsia="Calibri" w:hAnsi="Arial" w:cs="Times New Roman"/>
                <w:b/>
                <w:sz w:val="18"/>
              </w:rPr>
              <w:t xml:space="preserve"> директоров, исполнительным органам и иным ключевым руководящим работникам </w:t>
            </w:r>
            <w:r>
              <w:rPr>
                <w:rFonts w:ascii="Arial" w:eastAsia="Calibri" w:hAnsi="Arial" w:cs="Arial"/>
                <w:b/>
                <w:sz w:val="18"/>
                <w:szCs w:val="18"/>
              </w:rPr>
              <w:t>Общества</w:t>
            </w:r>
            <w:r>
              <w:rPr>
                <w:rFonts w:ascii="Arial" w:eastAsia="Calibri" w:hAnsi="Arial" w:cs="Times New Roman"/>
                <w:b/>
                <w:sz w:val="18"/>
              </w:rPr>
              <w:t xml:space="preserve"> осуществляется в соответствии с принятой в </w:t>
            </w:r>
            <w:r>
              <w:rPr>
                <w:rFonts w:ascii="Arial" w:eastAsia="Calibri" w:hAnsi="Arial" w:cs="Arial"/>
                <w:b/>
                <w:sz w:val="18"/>
                <w:szCs w:val="18"/>
              </w:rPr>
              <w:t>Обществе</w:t>
            </w:r>
            <w:r>
              <w:rPr>
                <w:rFonts w:ascii="Arial" w:eastAsia="Calibri" w:hAnsi="Arial" w:cs="Times New Roman"/>
                <w:b/>
                <w:sz w:val="18"/>
              </w:rPr>
              <w:t xml:space="preserve"> политикой по вознаграждению</w:t>
            </w:r>
            <w:r>
              <w:rPr>
                <w:rFonts w:ascii="Arial" w:eastAsia="Calibri" w:hAnsi="Arial" w:cs="Arial"/>
                <w:b/>
                <w:sz w:val="18"/>
                <w:szCs w:val="18"/>
              </w:rPr>
              <w:t>.</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4.1.1</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Уровень вознаграждения, предоставляемого Обществом членам Совета директоров, исполнительным органам и иным ключевым руководящим работникам, создает достаточную мотивацию для их эффективной работы, позволяя Обществу привлекать и удерживать компетентных и квалифицированных специалистов. При этом Общество избегает большего, чем это необходимо, уровня вознаграждения, </w:t>
            </w:r>
            <w:r>
              <w:rPr>
                <w:rFonts w:ascii="Arial" w:eastAsia="Calibri" w:hAnsi="Arial" w:cs="Times New Roman"/>
                <w:sz w:val="18"/>
              </w:rPr>
              <w:lastRenderedPageBreak/>
              <w:t>а также неоправданно большого разрыва между уровнями вознаграждения указанных лиц и работников Общества.</w:t>
            </w:r>
          </w:p>
        </w:tc>
        <w:tc>
          <w:tcPr>
            <w:tcW w:w="3827" w:type="dxa"/>
          </w:tcPr>
          <w:p w:rsidR="00C81778" w:rsidRDefault="00AB0D4E">
            <w:pPr>
              <w:widowControl w:val="0"/>
              <w:spacing w:after="200" w:line="276" w:lineRule="auto"/>
              <w:contextualSpacing/>
              <w:jc w:val="both"/>
              <w:rPr>
                <w:rFonts w:ascii="Arial" w:eastAsia="Calibri" w:hAnsi="Arial" w:cs="Times New Roman"/>
                <w:sz w:val="18"/>
              </w:rPr>
            </w:pPr>
            <w:r>
              <w:rPr>
                <w:rFonts w:eastAsia="Calibri" w:cs="Times New Roman"/>
              </w:rPr>
              <w:lastRenderedPageBreak/>
              <w:t xml:space="preserve">1. </w:t>
            </w:r>
            <w:r>
              <w:rPr>
                <w:rFonts w:ascii="Arial" w:eastAsia="Calibri" w:hAnsi="Arial" w:cs="Times New Roman"/>
                <w:sz w:val="18"/>
              </w:rPr>
              <w:t>Вознаграждение членов Совета директоров, исполнительных органов и иных ключевых руководящих работников Общества определено с учетом результатов сравнительного анализа уровня вознаграждения, в сопоставимых компаниях.</w:t>
            </w:r>
          </w:p>
        </w:tc>
        <w:tc>
          <w:tcPr>
            <w:tcW w:w="2692" w:type="dxa"/>
          </w:tcPr>
          <w:p w:rsidR="00C81778" w:rsidRDefault="00AB0D4E">
            <w:pPr>
              <w:widowControl w:val="0"/>
              <w:spacing w:after="200" w:line="276" w:lineRule="auto"/>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0" w:line="240" w:lineRule="auto"/>
              <w:ind w:left="31"/>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4.1.2</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Политика </w:t>
            </w:r>
            <w:r>
              <w:rPr>
                <w:rFonts w:ascii="Arial" w:eastAsia="Times New Roman" w:hAnsi="Arial" w:cs="Arial"/>
                <w:sz w:val="18"/>
                <w:szCs w:val="18"/>
              </w:rPr>
              <w:t>Общества</w:t>
            </w:r>
            <w:r>
              <w:rPr>
                <w:rFonts w:ascii="Arial" w:eastAsia="Calibri" w:hAnsi="Arial" w:cs="Times New Roman"/>
                <w:sz w:val="18"/>
              </w:rPr>
              <w:t xml:space="preserve"> по вознаграждению разработана комитетом по вознаграждениям и утверждена </w:t>
            </w:r>
            <w:r>
              <w:rPr>
                <w:rFonts w:ascii="Arial" w:eastAsia="Times New Roman" w:hAnsi="Arial" w:cs="Arial"/>
                <w:sz w:val="18"/>
                <w:szCs w:val="18"/>
              </w:rPr>
              <w:t>Советом</w:t>
            </w:r>
            <w:r>
              <w:rPr>
                <w:rFonts w:ascii="Arial" w:eastAsia="Calibri" w:hAnsi="Arial" w:cs="Times New Roman"/>
                <w:sz w:val="18"/>
              </w:rPr>
              <w:t xml:space="preserve"> директоров </w:t>
            </w:r>
            <w:r>
              <w:rPr>
                <w:rFonts w:ascii="Arial" w:eastAsia="Times New Roman" w:hAnsi="Arial" w:cs="Arial"/>
                <w:sz w:val="18"/>
                <w:szCs w:val="18"/>
              </w:rPr>
              <w:t>Общества</w:t>
            </w:r>
            <w:r>
              <w:rPr>
                <w:rFonts w:ascii="Arial" w:eastAsia="Calibri" w:hAnsi="Arial" w:cs="Times New Roman"/>
                <w:sz w:val="18"/>
              </w:rPr>
              <w:t xml:space="preserve">. Совет директоров при поддержке комитета по вознаграждениям обеспечивает контроль за внедрением и реализацией в </w:t>
            </w:r>
            <w:r>
              <w:rPr>
                <w:rFonts w:ascii="Arial" w:eastAsia="Times New Roman" w:hAnsi="Arial" w:cs="Arial"/>
                <w:sz w:val="18"/>
                <w:szCs w:val="18"/>
              </w:rPr>
              <w:t>Обществе</w:t>
            </w:r>
            <w:r>
              <w:rPr>
                <w:rFonts w:ascii="Arial" w:eastAsia="Calibri" w:hAnsi="Arial" w:cs="Times New Roman"/>
                <w:sz w:val="18"/>
              </w:rPr>
              <w:t xml:space="preserve"> политики по вознаграждению, а при необходимости </w:t>
            </w:r>
            <w:r>
              <w:rPr>
                <w:rFonts w:ascii="Arial" w:eastAsia="Times New Roman" w:hAnsi="Arial" w:cs="Arial"/>
                <w:sz w:val="18"/>
                <w:szCs w:val="18"/>
              </w:rPr>
              <w:t>–</w:t>
            </w:r>
            <w:r>
              <w:rPr>
                <w:rFonts w:ascii="Arial" w:eastAsia="Calibri" w:hAnsi="Arial" w:cs="Times New Roman"/>
                <w:sz w:val="18"/>
              </w:rPr>
              <w:t xml:space="preserve"> пересматривает и вносит в нее коррективы</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80"/>
              </w:numPr>
              <w:tabs>
                <w:tab w:val="left" w:pos="37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В течение отчетного периода комитет по вознаграждениям рассмотрел политику (политики) по вознаграждениям и (или) практику ее (их) внедрения, осуществил оценку их эффективности и прозрачности и при необходимости представил соответствующие рекомендации Совету директоров по пересмотру указанной политики (политик).</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Частично соблюдается.</w:t>
            </w:r>
          </w:p>
        </w:tc>
        <w:tc>
          <w:tcPr>
            <w:tcW w:w="3966" w:type="dxa"/>
            <w:shd w:val="clear" w:color="auto" w:fill="DBE5F1"/>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частично соблюдается.</w:t>
            </w:r>
          </w:p>
          <w:p w:rsidR="00C81778" w:rsidRDefault="00AB0D4E">
            <w:pPr>
              <w:widowControl w:val="0"/>
              <w:spacing w:after="200" w:line="276" w:lineRule="auto"/>
              <w:jc w:val="both"/>
              <w:rPr>
                <w:rFonts w:ascii="Arial" w:hAnsi="Arial" w:cs="Arial"/>
                <w:sz w:val="18"/>
                <w:szCs w:val="18"/>
              </w:rPr>
            </w:pPr>
            <w:r>
              <w:rPr>
                <w:rFonts w:ascii="Arial" w:eastAsia="Calibri" w:hAnsi="Arial" w:cs="Arial"/>
                <w:sz w:val="18"/>
                <w:szCs w:val="18"/>
              </w:rPr>
              <w:t>Совет директоров ПАО «ОГК-2» не рассматривает на ежегодной основе вопросы, связанные с вознаграждением и возмещением расходов членов Совета директоров, исполнительных органов Общества и иных ключевых руководящих работников Общества. В настоящее время в Обществе утверждены и действуют Положение о порядке определения вознаграждения и компенсаций членам Совета директоров (протокол от 31.08.2022 №283), Положение об оплате труда и материальном стимулировании высших менеджеров Общества (протокол от 23.10.2023 №309), и внедрена система ключевых показателей эффективности. Полномочия единоличного исполнительного органа Общества переданы управляющей организации, вознаграждение которой выплачивается в соответствии с условиями договора в денежной форме. Условия договора об осуществлении полномочий управляющей организации были одобрены решением Совета директоров Общества (Протокол от 04.07.2018 №199). В качестве альтернативной практики, Совет директоров регулярно рассматривает вопрос о выплате членам Совета директоров Общества вознаграждений и компенсаций (как минимум – ежегодно), рассматривает отчеты управляющей организации об оказании услуг по договору о передаче полномочий единоличного исполнительного органа ПАО</w:t>
            </w:r>
            <w:r>
              <w:rPr>
                <w:rFonts w:ascii="Arial" w:eastAsia="Calibri" w:hAnsi="Arial" w:cs="Arial"/>
                <w:bCs/>
                <w:sz w:val="18"/>
                <w:szCs w:val="18"/>
              </w:rPr>
              <w:t> </w:t>
            </w:r>
            <w:r>
              <w:rPr>
                <w:rFonts w:ascii="Arial" w:eastAsia="Calibri" w:hAnsi="Arial" w:cs="Arial"/>
                <w:sz w:val="18"/>
                <w:szCs w:val="18"/>
              </w:rPr>
              <w:t xml:space="preserve">«ОГК-2» (ежеквартально), а также выполнение Бизнес-плана Общества в рамках которого также рассматриваются </w:t>
            </w:r>
            <w:r>
              <w:rPr>
                <w:rFonts w:ascii="Arial" w:eastAsia="Calibri" w:hAnsi="Arial" w:cs="Arial"/>
                <w:sz w:val="18"/>
                <w:szCs w:val="18"/>
              </w:rPr>
              <w:lastRenderedPageBreak/>
              <w:t>результаты достижения ключевых показателей эффективности, на основании которых принимается решение о выплате вознаграждения.</w:t>
            </w:r>
          </w:p>
          <w:p w:rsidR="00C81778" w:rsidRDefault="00AB0D4E">
            <w:pPr>
              <w:widowControl w:val="0"/>
              <w:spacing w:after="200" w:line="276" w:lineRule="auto"/>
              <w:jc w:val="both"/>
              <w:rPr>
                <w:rFonts w:ascii="Arial" w:eastAsia="Calibri" w:hAnsi="Arial" w:cs="Times New Roman"/>
                <w:sz w:val="18"/>
              </w:rPr>
            </w:pPr>
            <w:r>
              <w:rPr>
                <w:rFonts w:ascii="Arial" w:eastAsia="Times New Roman" w:hAnsi="Arial" w:cs="Arial"/>
                <w:sz w:val="18"/>
                <w:szCs w:val="18"/>
              </w:rPr>
              <w:t xml:space="preserve">Общество считает, что сложившаяся практика, на данный момент, достаточна и в полной мере позволяет Совету директоров </w:t>
            </w:r>
            <w:proofErr w:type="gramStart"/>
            <w:r>
              <w:rPr>
                <w:rFonts w:ascii="Arial" w:eastAsia="Times New Roman" w:hAnsi="Arial" w:cs="Arial"/>
                <w:sz w:val="18"/>
                <w:szCs w:val="18"/>
              </w:rPr>
              <w:t>определять</w:t>
            </w:r>
            <w:proofErr w:type="gramEnd"/>
            <w:r>
              <w:rPr>
                <w:rFonts w:ascii="Arial" w:eastAsia="Times New Roman" w:hAnsi="Arial" w:cs="Arial"/>
                <w:sz w:val="18"/>
                <w:szCs w:val="18"/>
              </w:rPr>
              <w:t xml:space="preserve"> как общие подходы к определению политики по вознаграждению членам Совета директоров, исполнительных органов и иных ключевых руководящих работников Общества, так и необходимость выплаты и размер вознаграждения.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4.1.3</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Политика </w:t>
            </w:r>
            <w:r>
              <w:rPr>
                <w:rFonts w:ascii="Arial" w:eastAsia="Calibri" w:hAnsi="Arial" w:cs="Arial"/>
                <w:sz w:val="18"/>
                <w:szCs w:val="18"/>
              </w:rPr>
              <w:t>Общества</w:t>
            </w:r>
            <w:r>
              <w:rPr>
                <w:rFonts w:ascii="Arial" w:eastAsia="Calibri" w:hAnsi="Arial" w:cs="Times New Roman"/>
                <w:sz w:val="18"/>
              </w:rPr>
              <w:t xml:space="preserve"> по вознаграждению содержит прозрачные механизмы определения размера вознаграждения членов </w:t>
            </w:r>
            <w:r>
              <w:rPr>
                <w:rFonts w:ascii="Arial" w:eastAsia="Calibri" w:hAnsi="Arial" w:cs="Arial"/>
                <w:sz w:val="18"/>
                <w:szCs w:val="18"/>
              </w:rPr>
              <w:t>Совета</w:t>
            </w:r>
            <w:r>
              <w:rPr>
                <w:rFonts w:ascii="Arial" w:eastAsia="Calibri" w:hAnsi="Arial" w:cs="Times New Roman"/>
                <w:sz w:val="18"/>
              </w:rPr>
              <w:t xml:space="preserve"> директоров, исполнительных органов и иных ключевых руководящих работников </w:t>
            </w:r>
            <w:r>
              <w:rPr>
                <w:rFonts w:ascii="Arial" w:eastAsia="Calibri" w:hAnsi="Arial" w:cs="Arial"/>
                <w:sz w:val="18"/>
                <w:szCs w:val="18"/>
              </w:rPr>
              <w:t>Общества</w:t>
            </w:r>
            <w:r>
              <w:rPr>
                <w:rFonts w:ascii="Arial" w:eastAsia="Calibri" w:hAnsi="Arial" w:cs="Times New Roman"/>
                <w:sz w:val="18"/>
              </w:rPr>
              <w:t>, а также регламентирует все виды выплат, льгот и привилегий, предоставляемых указанным лицам</w:t>
            </w:r>
            <w:r>
              <w:rPr>
                <w:rFonts w:ascii="Arial" w:eastAsia="Calibri" w:hAnsi="Arial" w:cs="Arial"/>
                <w:sz w:val="18"/>
                <w:szCs w:val="18"/>
              </w:rPr>
              <w:t>.</w:t>
            </w:r>
          </w:p>
        </w:tc>
        <w:tc>
          <w:tcPr>
            <w:tcW w:w="3827" w:type="dxa"/>
          </w:tcPr>
          <w:p w:rsidR="00C81778" w:rsidRDefault="00AB0D4E" w:rsidP="00AB0D4E">
            <w:pPr>
              <w:widowControl w:val="0"/>
              <w:numPr>
                <w:ilvl w:val="0"/>
                <w:numId w:val="81"/>
              </w:numPr>
              <w:tabs>
                <w:tab w:val="left" w:pos="39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Политика (политики) </w:t>
            </w:r>
            <w:r>
              <w:rPr>
                <w:rFonts w:ascii="Arial" w:eastAsia="Calibri" w:hAnsi="Arial" w:cs="Arial"/>
                <w:sz w:val="18"/>
                <w:szCs w:val="18"/>
              </w:rPr>
              <w:t>Общества</w:t>
            </w:r>
            <w:r>
              <w:rPr>
                <w:rFonts w:ascii="Arial" w:eastAsia="Calibri" w:hAnsi="Arial" w:cs="Times New Roman"/>
                <w:sz w:val="18"/>
              </w:rPr>
              <w:t xml:space="preserve"> по вознаграждению содержит (содержат) прозрачные механизмы определения размера вознаграждения членов </w:t>
            </w:r>
            <w:r>
              <w:rPr>
                <w:rFonts w:ascii="Arial" w:eastAsia="Calibri" w:hAnsi="Arial" w:cs="Arial"/>
                <w:sz w:val="18"/>
                <w:szCs w:val="18"/>
              </w:rPr>
              <w:t>Совета</w:t>
            </w:r>
            <w:r>
              <w:rPr>
                <w:rFonts w:ascii="Arial" w:eastAsia="Calibri" w:hAnsi="Arial" w:cs="Times New Roman"/>
                <w:sz w:val="18"/>
              </w:rPr>
              <w:t xml:space="preserve"> директоров, исполнительных органов и иных ключевых руководящих работников </w:t>
            </w:r>
            <w:r>
              <w:rPr>
                <w:rFonts w:ascii="Arial" w:eastAsia="Calibri" w:hAnsi="Arial" w:cs="Arial"/>
                <w:sz w:val="18"/>
                <w:szCs w:val="18"/>
              </w:rPr>
              <w:t>Общества</w:t>
            </w:r>
            <w:r>
              <w:rPr>
                <w:rFonts w:ascii="Arial" w:eastAsia="Calibri" w:hAnsi="Arial" w:cs="Times New Roman"/>
                <w:sz w:val="18"/>
              </w:rPr>
              <w:t>, а также регламентирует (регламентируют) все виды выплат, льгот и привилегий, предоставляемых указанным лицам</w:t>
            </w:r>
            <w:r>
              <w:rPr>
                <w:rFonts w:ascii="Arial" w:eastAsia="Calibri" w:hAnsi="Arial" w:cs="Arial"/>
                <w:sz w:val="18"/>
                <w:szCs w:val="18"/>
              </w:rPr>
              <w:t>.</w:t>
            </w:r>
          </w:p>
        </w:tc>
        <w:tc>
          <w:tcPr>
            <w:tcW w:w="2692" w:type="dxa"/>
          </w:tcPr>
          <w:p w:rsidR="00C81778" w:rsidRDefault="00AB0D4E">
            <w:pPr>
              <w:widowControl w:val="0"/>
              <w:spacing w:after="200" w:line="276" w:lineRule="auto"/>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4.1.4</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Общество определяет политику возмещения расходов (компенсаций), конкретизирующую перечень расходов, подлежащих возмещению, и уровень обслуживания, на который могут претендовать члены </w:t>
            </w:r>
            <w:r>
              <w:rPr>
                <w:rFonts w:ascii="Arial" w:eastAsia="Calibri" w:hAnsi="Arial" w:cs="Arial"/>
                <w:sz w:val="18"/>
                <w:szCs w:val="18"/>
              </w:rPr>
              <w:t>Совета</w:t>
            </w:r>
            <w:r>
              <w:rPr>
                <w:rFonts w:ascii="Arial" w:eastAsia="Calibri" w:hAnsi="Arial" w:cs="Times New Roman"/>
                <w:sz w:val="18"/>
              </w:rPr>
              <w:t xml:space="preserve"> директоров, исполнительные органы и иные ключевые руководящие работники </w:t>
            </w:r>
            <w:r>
              <w:rPr>
                <w:rFonts w:ascii="Arial" w:eastAsia="Calibri" w:hAnsi="Arial" w:cs="Arial"/>
                <w:sz w:val="18"/>
                <w:szCs w:val="18"/>
              </w:rPr>
              <w:t>Общества</w:t>
            </w:r>
            <w:r>
              <w:rPr>
                <w:rFonts w:ascii="Arial" w:eastAsia="Calibri" w:hAnsi="Arial" w:cs="Times New Roman"/>
                <w:sz w:val="18"/>
              </w:rPr>
              <w:t xml:space="preserve">. Такая политика может быть составной частью политики </w:t>
            </w:r>
            <w:r>
              <w:rPr>
                <w:rFonts w:ascii="Arial" w:eastAsia="Calibri" w:hAnsi="Arial" w:cs="Arial"/>
                <w:sz w:val="18"/>
                <w:szCs w:val="18"/>
              </w:rPr>
              <w:t>Общества</w:t>
            </w:r>
            <w:r>
              <w:rPr>
                <w:rFonts w:ascii="Arial" w:eastAsia="Calibri" w:hAnsi="Arial" w:cs="Times New Roman"/>
                <w:sz w:val="18"/>
              </w:rPr>
              <w:t xml:space="preserve"> по вознаграждению</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82"/>
              </w:numPr>
              <w:tabs>
                <w:tab w:val="left" w:pos="453"/>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В политике (политиках) по вознаграждению или в иных внутренних документах </w:t>
            </w:r>
            <w:r>
              <w:rPr>
                <w:rFonts w:ascii="Arial" w:eastAsia="Calibri" w:hAnsi="Arial" w:cs="Arial"/>
                <w:sz w:val="18"/>
                <w:szCs w:val="18"/>
              </w:rPr>
              <w:t>Общества</w:t>
            </w:r>
            <w:r>
              <w:rPr>
                <w:rFonts w:ascii="Arial" w:eastAsia="Calibri" w:hAnsi="Arial" w:cs="Times New Roman"/>
                <w:sz w:val="18"/>
              </w:rPr>
              <w:t xml:space="preserve"> установлены правила возмещения расходов членов </w:t>
            </w:r>
            <w:r>
              <w:rPr>
                <w:rFonts w:ascii="Arial" w:eastAsia="Calibri" w:hAnsi="Arial" w:cs="Arial"/>
                <w:sz w:val="18"/>
                <w:szCs w:val="18"/>
              </w:rPr>
              <w:t>Совета</w:t>
            </w:r>
            <w:r>
              <w:rPr>
                <w:rFonts w:ascii="Arial" w:eastAsia="Calibri" w:hAnsi="Arial" w:cs="Times New Roman"/>
                <w:sz w:val="18"/>
              </w:rPr>
              <w:t xml:space="preserve"> директоров, исполнительных органов и иных ключевых руководящих работников </w:t>
            </w:r>
            <w:r>
              <w:rPr>
                <w:rFonts w:ascii="Arial" w:eastAsia="Calibri" w:hAnsi="Arial" w:cs="Arial"/>
                <w:sz w:val="18"/>
                <w:szCs w:val="18"/>
              </w:rPr>
              <w:t>Общества.</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shd w:val="clear" w:color="auto" w:fill="DBE5F1"/>
          </w:tcPr>
          <w:p w:rsidR="00C81778" w:rsidRDefault="00AB0D4E">
            <w:pPr>
              <w:widowControl w:val="0"/>
              <w:spacing w:after="0" w:line="240" w:lineRule="auto"/>
              <w:ind w:left="31"/>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4.2</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Система вознаграждения членов </w:t>
            </w:r>
            <w:r>
              <w:rPr>
                <w:rFonts w:ascii="Arial" w:eastAsia="Calibri" w:hAnsi="Arial" w:cs="Arial"/>
                <w:b/>
                <w:sz w:val="18"/>
                <w:szCs w:val="18"/>
              </w:rPr>
              <w:t>Совета</w:t>
            </w:r>
            <w:r>
              <w:rPr>
                <w:rFonts w:ascii="Arial" w:eastAsia="Calibri" w:hAnsi="Arial" w:cs="Times New Roman"/>
                <w:b/>
                <w:sz w:val="18"/>
              </w:rPr>
              <w:t xml:space="preserve"> директоров обеспечивает сближение финансовых интересов с долгосрочными финансовыми интересами акционеров</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4.2.1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Общество выплачивает фиксированное годовое вознаграждение членам Совета директоров. Общество не выплачивает вознаграждение за участие в отдельных </w:t>
            </w:r>
            <w:r>
              <w:rPr>
                <w:rFonts w:ascii="Arial" w:eastAsia="Calibri" w:hAnsi="Arial" w:cs="Times New Roman"/>
                <w:sz w:val="18"/>
              </w:rPr>
              <w:lastRenderedPageBreak/>
              <w:t>заседаниях Совета или комитетов Совета директоров. Общество не применяет формы краткосрочной мотивации и дополнительного материального стимулирования в отношении членов Совета директоров.</w:t>
            </w:r>
          </w:p>
        </w:tc>
        <w:tc>
          <w:tcPr>
            <w:tcW w:w="3827" w:type="dxa"/>
            <w:shd w:val="clear" w:color="auto" w:fill="DBE5F1"/>
          </w:tcPr>
          <w:p w:rsidR="00C81778" w:rsidRDefault="00AB0D4E">
            <w:pPr>
              <w:widowControl w:val="0"/>
              <w:spacing w:after="200" w:line="276" w:lineRule="auto"/>
              <w:jc w:val="both"/>
              <w:rPr>
                <w:rFonts w:ascii="Arial" w:eastAsia="Times New Roman" w:hAnsi="Arial" w:cs="Arial"/>
                <w:sz w:val="18"/>
                <w:szCs w:val="18"/>
                <w:lang w:eastAsia="ru-RU"/>
              </w:rPr>
            </w:pPr>
            <w:r>
              <w:rPr>
                <w:rFonts w:ascii="Arial" w:eastAsia="Times New Roman" w:hAnsi="Arial" w:cs="Arial"/>
                <w:sz w:val="20"/>
                <w:szCs w:val="20"/>
                <w:lang w:eastAsia="ru-RU"/>
              </w:rPr>
              <w:lastRenderedPageBreak/>
              <w:t>1.</w:t>
            </w:r>
            <w:r>
              <w:rPr>
                <w:rFonts w:ascii="Arial" w:eastAsia="Times New Roman" w:hAnsi="Arial" w:cs="Arial"/>
                <w:sz w:val="18"/>
                <w:szCs w:val="18"/>
                <w:lang w:eastAsia="ru-RU"/>
              </w:rPr>
              <w:t xml:space="preserve"> В отчетном периоде Общество выплачивало вознаграждение членам Совета директоров в соответствии с принятой в Обществе политикой по </w:t>
            </w:r>
            <w:r>
              <w:rPr>
                <w:rFonts w:ascii="Arial" w:eastAsia="Times New Roman" w:hAnsi="Arial" w:cs="Arial"/>
                <w:sz w:val="18"/>
                <w:szCs w:val="18"/>
                <w:lang w:eastAsia="ru-RU"/>
              </w:rPr>
              <w:lastRenderedPageBreak/>
              <w:t>вознаграждению.</w:t>
            </w:r>
          </w:p>
          <w:p w:rsidR="00C81778" w:rsidRDefault="00AB0D4E">
            <w:pPr>
              <w:widowControl w:val="0"/>
              <w:spacing w:after="200" w:line="276" w:lineRule="auto"/>
              <w:contextualSpacing/>
              <w:jc w:val="both"/>
              <w:rPr>
                <w:rFonts w:ascii="Arial" w:eastAsia="Calibri" w:hAnsi="Arial" w:cs="Times New Roman"/>
                <w:sz w:val="18"/>
              </w:rPr>
            </w:pPr>
            <w:r>
              <w:rPr>
                <w:rFonts w:ascii="Arial" w:eastAsia="Times New Roman" w:hAnsi="Arial" w:cs="Arial"/>
                <w:sz w:val="18"/>
                <w:szCs w:val="18"/>
                <w:lang w:eastAsia="ru-RU"/>
              </w:rPr>
              <w:t>2. В отчетном периоде Обществом в отношении членов Совета директоров не</w:t>
            </w:r>
            <w:r>
              <w:rPr>
                <w:rFonts w:ascii="Arial" w:eastAsia="Times New Roman" w:hAnsi="Arial" w:cs="Arial"/>
                <w:sz w:val="20"/>
                <w:szCs w:val="20"/>
                <w:lang w:eastAsia="ru-RU"/>
              </w:rPr>
              <w:t xml:space="preserve"> </w:t>
            </w:r>
            <w:r>
              <w:rPr>
                <w:rFonts w:ascii="Arial" w:eastAsia="Times New Roman" w:hAnsi="Arial" w:cs="Arial"/>
                <w:sz w:val="18"/>
                <w:szCs w:val="18"/>
                <w:lang w:eastAsia="ru-RU"/>
              </w:rPr>
              <w:t>применялись формы краткосрочной мотивации, дополнительного материального стимулирования, выплата которого зависит от результатов (показателей) деятельности Общества. Выплата вознаграждения за участие в отдельных заседаниях Совета или комитетов Совета директоров не осуществлялась.</w:t>
            </w:r>
          </w:p>
        </w:tc>
        <w:tc>
          <w:tcPr>
            <w:tcW w:w="2692" w:type="dxa"/>
            <w:shd w:val="clear" w:color="auto" w:fill="DBE5F1"/>
          </w:tcPr>
          <w:p w:rsidR="00C81778" w:rsidRDefault="00AB0D4E">
            <w:pPr>
              <w:widowControl w:val="0"/>
              <w:spacing w:after="0" w:line="240" w:lineRule="auto"/>
              <w:ind w:left="31"/>
              <w:contextualSpacing/>
              <w:rPr>
                <w:rFonts w:ascii="Arial" w:eastAsia="Calibri" w:hAnsi="Arial" w:cs="Times New Roman"/>
                <w:sz w:val="18"/>
              </w:rPr>
            </w:pPr>
            <w:r>
              <w:rPr>
                <w:rFonts w:ascii="Arial" w:eastAsia="Times New Roman" w:hAnsi="Arial" w:cs="Arial"/>
                <w:sz w:val="18"/>
                <w:szCs w:val="18"/>
              </w:rPr>
              <w:lastRenderedPageBreak/>
              <w:t>Частично соблюдается.</w:t>
            </w:r>
          </w:p>
        </w:tc>
        <w:tc>
          <w:tcPr>
            <w:tcW w:w="3966" w:type="dxa"/>
            <w:shd w:val="clear" w:color="auto" w:fill="DBE5F1"/>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соблюдается.</w:t>
            </w:r>
          </w:p>
          <w:p w:rsidR="00C81778" w:rsidRDefault="00C81778">
            <w:pPr>
              <w:widowControl w:val="0"/>
              <w:spacing w:after="0" w:line="240" w:lineRule="auto"/>
              <w:contextualSpacing/>
              <w:rPr>
                <w:rFonts w:ascii="Arial" w:eastAsia="Times New Roman" w:hAnsi="Arial" w:cs="Arial"/>
                <w:sz w:val="18"/>
                <w:szCs w:val="18"/>
                <w:u w:val="single"/>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2: частично соблюдается.</w:t>
            </w:r>
          </w:p>
          <w:p w:rsidR="00C81778" w:rsidRDefault="00AB0D4E">
            <w:pPr>
              <w:widowControl w:val="0"/>
              <w:spacing w:after="0" w:line="240" w:lineRule="auto"/>
              <w:contextualSpacing/>
              <w:jc w:val="both"/>
              <w:rPr>
                <w:rFonts w:ascii="Arial" w:eastAsia="Calibri" w:hAnsi="Arial"/>
                <w:sz w:val="18"/>
              </w:rPr>
            </w:pPr>
            <w:r>
              <w:rPr>
                <w:rFonts w:ascii="Arial" w:eastAsia="Calibri" w:hAnsi="Arial" w:cs="Arial"/>
                <w:sz w:val="18"/>
              </w:rPr>
              <w:t xml:space="preserve">В отчетном периоде Обществом в отношении членов Совета директоров </w:t>
            </w:r>
            <w:r>
              <w:rPr>
                <w:rFonts w:ascii="Arial" w:eastAsia="Calibri" w:hAnsi="Arial" w:cs="Arial"/>
                <w:sz w:val="18"/>
              </w:rPr>
              <w:lastRenderedPageBreak/>
              <w:t>применялись формы дополнительного материального стимулирования, выплата которого зависит от результатов (показателей) деятельности Общества.</w:t>
            </w:r>
          </w:p>
          <w:p w:rsidR="00C81778" w:rsidRDefault="00AB0D4E">
            <w:pPr>
              <w:widowControl w:val="0"/>
              <w:spacing w:after="0" w:line="240" w:lineRule="auto"/>
              <w:contextualSpacing/>
              <w:jc w:val="both"/>
              <w:rPr>
                <w:rFonts w:ascii="Arial" w:eastAsia="Calibri" w:hAnsi="Arial"/>
                <w:sz w:val="18"/>
              </w:rPr>
            </w:pPr>
            <w:r>
              <w:rPr>
                <w:rFonts w:ascii="Arial" w:eastAsia="Calibri" w:hAnsi="Arial" w:cs="Arial"/>
                <w:sz w:val="18"/>
              </w:rPr>
              <w:t>Порядок определения размера вознаграждения членов Совета директоров устанавливается Положением о порядке определения размера вознаграждений и компенсаций членам Совета директоров Общества (утв. решением Совета директоров протокол от 31.08.2022 №283).</w:t>
            </w:r>
          </w:p>
          <w:p w:rsidR="00C81778" w:rsidRDefault="00AB0D4E">
            <w:pPr>
              <w:widowControl w:val="0"/>
              <w:spacing w:after="0" w:line="240" w:lineRule="auto"/>
              <w:contextualSpacing/>
              <w:jc w:val="both"/>
              <w:rPr>
                <w:rFonts w:ascii="Arial" w:eastAsia="Calibri" w:hAnsi="Arial"/>
                <w:sz w:val="18"/>
              </w:rPr>
            </w:pPr>
            <w:r>
              <w:rPr>
                <w:rFonts w:ascii="Arial" w:eastAsia="Calibri" w:hAnsi="Arial" w:cs="Arial"/>
                <w:sz w:val="18"/>
              </w:rPr>
              <w:t>В соответствии с действующим по состоянию на конец отчетного года Положением, вознаграждение членов Совета директоров состоит из базовой и дополнительной частей. При определении общей суммы базовой части вознаграждения учитываются размеры вознаграждения в аналогичных компаниях, масштаб и сложность бизнеса Общества, роль Совета директоров в управлении Обществом. Размер дополнительной части вознаграждения складывается из:</w:t>
            </w:r>
          </w:p>
          <w:p w:rsidR="00C81778" w:rsidRDefault="00AB0D4E">
            <w:pPr>
              <w:widowControl w:val="0"/>
              <w:spacing w:after="0" w:line="240" w:lineRule="auto"/>
              <w:contextualSpacing/>
              <w:jc w:val="both"/>
              <w:rPr>
                <w:rFonts w:ascii="Arial" w:eastAsia="Calibri" w:hAnsi="Arial"/>
                <w:sz w:val="18"/>
              </w:rPr>
            </w:pPr>
            <w:r>
              <w:rPr>
                <w:rFonts w:ascii="Arial" w:eastAsia="Calibri" w:hAnsi="Arial" w:cs="Arial"/>
                <w:sz w:val="18"/>
              </w:rPr>
              <w:t>- дополнительной части вознаграждения по результатам деятельности Общества;</w:t>
            </w:r>
          </w:p>
          <w:p w:rsidR="00C81778" w:rsidRDefault="00AB0D4E">
            <w:pPr>
              <w:widowControl w:val="0"/>
              <w:spacing w:after="0" w:line="240" w:lineRule="auto"/>
              <w:contextualSpacing/>
              <w:jc w:val="both"/>
              <w:rPr>
                <w:rFonts w:ascii="Arial" w:eastAsia="Calibri" w:hAnsi="Arial"/>
                <w:sz w:val="18"/>
              </w:rPr>
            </w:pPr>
            <w:r>
              <w:rPr>
                <w:rFonts w:ascii="Arial" w:eastAsia="Calibri" w:hAnsi="Arial" w:cs="Arial"/>
                <w:sz w:val="18"/>
              </w:rPr>
              <w:t>- дополнительной части вознаграждения за осуществление функций Председателя/заместителя Председателя Совета директоров. При этом, в течение отчетного периода базовая часть вознаграждения членам Совета директоров не выплачивалась, т.к. Советом директоров не был определен ее размер.</w:t>
            </w:r>
          </w:p>
          <w:p w:rsidR="00C81778" w:rsidRDefault="00AB0D4E">
            <w:pPr>
              <w:widowControl w:val="0"/>
              <w:spacing w:after="0" w:line="240" w:lineRule="auto"/>
              <w:contextualSpacing/>
              <w:jc w:val="both"/>
              <w:rPr>
                <w:rFonts w:ascii="Arial" w:eastAsia="Calibri" w:hAnsi="Arial"/>
                <w:sz w:val="18"/>
              </w:rPr>
            </w:pPr>
            <w:r>
              <w:rPr>
                <w:rFonts w:ascii="Arial" w:eastAsia="Calibri" w:hAnsi="Arial" w:cs="Arial"/>
                <w:sz w:val="18"/>
              </w:rPr>
              <w:t xml:space="preserve">Решение о выплате членам Совета директоров дополнительной части вознаграждения принимается Общим собранием акционеров Общества. В решении Общего собрания акционеров о выплате членам Совета директоров дополнительной части вознаграждения определяется его общая сумма. Таким образом, решение о выплате членам Совета директоров дополнительной части вознаграждения и его размере относится к компетенции высшего органа управления Общества и зависит от результатов работы </w:t>
            </w:r>
            <w:r>
              <w:rPr>
                <w:rFonts w:ascii="Arial" w:eastAsia="Calibri" w:hAnsi="Arial" w:cs="Arial"/>
                <w:sz w:val="18"/>
              </w:rPr>
              <w:lastRenderedPageBreak/>
              <w:t>Общества в отчетном году.</w:t>
            </w:r>
          </w:p>
          <w:p w:rsidR="00C81778" w:rsidRDefault="00AB0D4E">
            <w:pPr>
              <w:widowControl w:val="0"/>
              <w:spacing w:after="0" w:line="240" w:lineRule="auto"/>
              <w:contextualSpacing/>
              <w:jc w:val="both"/>
              <w:rPr>
                <w:rFonts w:ascii="Arial" w:eastAsia="Calibri" w:hAnsi="Arial"/>
                <w:bCs/>
                <w:sz w:val="18"/>
              </w:rPr>
            </w:pPr>
            <w:r>
              <w:rPr>
                <w:rFonts w:ascii="Arial" w:eastAsia="Calibri" w:hAnsi="Arial" w:cs="Arial"/>
                <w:bCs/>
                <w:sz w:val="18"/>
              </w:rPr>
              <w:t>Выплата вознаграждения за участие в заседаниях комитетов Совета директоров не предусмотрена внутренними документами Общества и не осуществлялась.</w:t>
            </w:r>
          </w:p>
          <w:p w:rsidR="00C81778" w:rsidRDefault="00AB0D4E">
            <w:pPr>
              <w:spacing w:after="200" w:line="240" w:lineRule="auto"/>
              <w:jc w:val="both"/>
              <w:rPr>
                <w:rFonts w:ascii="Arial" w:eastAsia="Calibri" w:hAnsi="Arial" w:cs="Times New Roman"/>
                <w:sz w:val="18"/>
              </w:rPr>
            </w:pPr>
            <w:r>
              <w:rPr>
                <w:rFonts w:ascii="Arial" w:eastAsia="Calibri" w:hAnsi="Arial" w:cs="Times New Roman"/>
                <w:sz w:val="18"/>
              </w:rPr>
              <w:t>Поскольку ПАО «ОГК-2» входит в Группу Газпром, управление в которой осуществляется по единым корпоративным стандартам, которым соответствует и действующее Положение о порядке определения размера вознаграждений и компенсаций членам Совета директоров, в ближайшее время корректировка данного документа не планируется.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4.2.2</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Долгосрочное владение акциями </w:t>
            </w:r>
            <w:r>
              <w:rPr>
                <w:rFonts w:ascii="Arial" w:eastAsia="Times New Roman" w:hAnsi="Arial" w:cs="Arial"/>
                <w:sz w:val="18"/>
                <w:szCs w:val="18"/>
              </w:rPr>
              <w:t>Общества</w:t>
            </w:r>
            <w:r>
              <w:rPr>
                <w:rFonts w:ascii="Arial" w:eastAsia="Calibri" w:hAnsi="Arial" w:cs="Times New Roman"/>
                <w:sz w:val="18"/>
              </w:rPr>
              <w:t xml:space="preserve"> в наибольшей степени способствует сближению финансовых интересов членов </w:t>
            </w:r>
            <w:r>
              <w:rPr>
                <w:rFonts w:ascii="Arial" w:eastAsia="Times New Roman" w:hAnsi="Arial" w:cs="Arial"/>
                <w:sz w:val="18"/>
                <w:szCs w:val="18"/>
              </w:rPr>
              <w:t>Совета</w:t>
            </w:r>
            <w:r>
              <w:rPr>
                <w:rFonts w:ascii="Arial" w:eastAsia="Calibri" w:hAnsi="Arial" w:cs="Times New Roman"/>
                <w:sz w:val="18"/>
              </w:rPr>
              <w:t xml:space="preserve"> директоров с долгосрочными интересами акционеров. При этом </w:t>
            </w:r>
            <w:r>
              <w:rPr>
                <w:rFonts w:ascii="Arial" w:eastAsia="Times New Roman" w:hAnsi="Arial" w:cs="Arial"/>
                <w:sz w:val="18"/>
                <w:szCs w:val="18"/>
              </w:rPr>
              <w:t>Общество</w:t>
            </w:r>
            <w:r>
              <w:rPr>
                <w:rFonts w:ascii="Arial" w:eastAsia="Calibri" w:hAnsi="Arial" w:cs="Times New Roman"/>
                <w:sz w:val="18"/>
              </w:rPr>
              <w:t xml:space="preserve"> не обуславливает права реализации акций достижением определенных показателей деятельности, а члены </w:t>
            </w:r>
            <w:r>
              <w:rPr>
                <w:rFonts w:ascii="Arial" w:eastAsia="Times New Roman" w:hAnsi="Arial" w:cs="Arial"/>
                <w:sz w:val="18"/>
                <w:szCs w:val="18"/>
              </w:rPr>
              <w:t>Совета</w:t>
            </w:r>
            <w:r>
              <w:rPr>
                <w:rFonts w:ascii="Arial" w:eastAsia="Calibri" w:hAnsi="Arial" w:cs="Times New Roman"/>
                <w:sz w:val="18"/>
              </w:rPr>
              <w:t xml:space="preserve"> директоров не участвуют в опционных программах</w:t>
            </w:r>
            <w:r>
              <w:rPr>
                <w:rFonts w:ascii="Arial" w:eastAsia="Times New Roman" w:hAnsi="Arial" w:cs="Arial"/>
                <w:sz w:val="18"/>
                <w:szCs w:val="18"/>
              </w:rPr>
              <w:t>.</w:t>
            </w:r>
          </w:p>
        </w:tc>
        <w:tc>
          <w:tcPr>
            <w:tcW w:w="3827" w:type="dxa"/>
          </w:tcPr>
          <w:p w:rsidR="00C81778" w:rsidRDefault="00AB0D4E" w:rsidP="00AB0D4E">
            <w:pPr>
              <w:widowControl w:val="0"/>
              <w:numPr>
                <w:ilvl w:val="0"/>
                <w:numId w:val="83"/>
              </w:numPr>
              <w:tabs>
                <w:tab w:val="left" w:pos="45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Если внутренний документ (документы) – политика (политики) по вознаграждению Общества - предусматривает (предусматривают) предоставление акций Общества членам Совета директоров, должны быть предусмотрены и раскрыты четкие правила владения акциями членами Совета директоров, нацеленные на стимулирование долгосрочного владения такими акциями.</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Соблюдается.</w:t>
            </w:r>
          </w:p>
        </w:tc>
        <w:tc>
          <w:tcPr>
            <w:tcW w:w="3966" w:type="dxa"/>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соблюдается.</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Комментарий к соблюдению критерия 1: в Обществе не внедрена опционная программа, Положение о порядке определения размера вознаграждений и компенсаций членам Совета директоров (утверждено Советом директоров, протокол от 31.08.2022 №283) не предусматривает предоставление акций Общества членам Совета директоров.</w:t>
            </w:r>
          </w:p>
          <w:p w:rsidR="00C81778" w:rsidRDefault="00C81778">
            <w:pPr>
              <w:widowControl w:val="0"/>
              <w:spacing w:after="200" w:line="276" w:lineRule="auto"/>
              <w:contextualSpacing/>
              <w:jc w:val="both"/>
              <w:rPr>
                <w:rFonts w:ascii="Arial" w:eastAsia="Calibri" w:hAnsi="Arial" w:cs="Times New Roman"/>
                <w:sz w:val="18"/>
              </w:rPr>
            </w:pP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4.2.3</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В </w:t>
            </w:r>
            <w:r>
              <w:rPr>
                <w:rFonts w:ascii="Arial" w:eastAsia="Calibri" w:hAnsi="Arial" w:cs="Arial"/>
                <w:sz w:val="18"/>
                <w:szCs w:val="18"/>
              </w:rPr>
              <w:t>Обществе</w:t>
            </w:r>
            <w:r>
              <w:rPr>
                <w:rFonts w:ascii="Arial" w:eastAsia="Calibri" w:hAnsi="Arial" w:cs="Times New Roman"/>
                <w:sz w:val="18"/>
              </w:rPr>
              <w:t xml:space="preserve"> не предусмотрены какие-либо дополнительные выплаты или компенсации в случае досрочного прекращения полномочий членов </w:t>
            </w:r>
            <w:r>
              <w:rPr>
                <w:rFonts w:ascii="Arial" w:eastAsia="Calibri" w:hAnsi="Arial" w:cs="Arial"/>
                <w:sz w:val="18"/>
                <w:szCs w:val="18"/>
              </w:rPr>
              <w:t>Совета</w:t>
            </w:r>
            <w:r>
              <w:rPr>
                <w:rFonts w:ascii="Arial" w:eastAsia="Calibri" w:hAnsi="Arial" w:cs="Times New Roman"/>
                <w:sz w:val="18"/>
              </w:rPr>
              <w:t xml:space="preserve"> директоров в связи с переходом контроля над </w:t>
            </w:r>
            <w:r>
              <w:rPr>
                <w:rFonts w:ascii="Arial" w:eastAsia="Calibri" w:hAnsi="Arial" w:cs="Arial"/>
                <w:sz w:val="18"/>
                <w:szCs w:val="18"/>
              </w:rPr>
              <w:t>Обществом</w:t>
            </w:r>
            <w:r>
              <w:rPr>
                <w:rFonts w:ascii="Arial" w:eastAsia="Calibri" w:hAnsi="Arial" w:cs="Times New Roman"/>
                <w:sz w:val="18"/>
              </w:rPr>
              <w:t xml:space="preserve"> или иными обстоятельствами</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84"/>
              </w:numPr>
              <w:tabs>
                <w:tab w:val="left" w:pos="312"/>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 xml:space="preserve">В </w:t>
            </w:r>
            <w:r>
              <w:rPr>
                <w:rFonts w:ascii="Arial" w:eastAsia="Calibri" w:hAnsi="Arial" w:cs="Arial"/>
                <w:sz w:val="18"/>
                <w:szCs w:val="18"/>
              </w:rPr>
              <w:t>Обществе</w:t>
            </w:r>
            <w:r>
              <w:rPr>
                <w:rFonts w:ascii="Arial" w:eastAsia="Calibri" w:hAnsi="Arial" w:cs="Times New Roman"/>
                <w:sz w:val="18"/>
              </w:rPr>
              <w:t xml:space="preserve"> не предусмотрены какие-либо дополнительные выплаты или компенсации в случае досрочного прекращения полномочий членов </w:t>
            </w:r>
            <w:r>
              <w:rPr>
                <w:rFonts w:ascii="Arial" w:eastAsia="Calibri" w:hAnsi="Arial" w:cs="Arial"/>
                <w:sz w:val="18"/>
                <w:szCs w:val="18"/>
              </w:rPr>
              <w:t>Совета</w:t>
            </w:r>
            <w:r>
              <w:rPr>
                <w:rFonts w:ascii="Arial" w:eastAsia="Calibri" w:hAnsi="Arial" w:cs="Times New Roman"/>
                <w:sz w:val="18"/>
              </w:rPr>
              <w:t xml:space="preserve"> директоров в связи с переходом контроля над </w:t>
            </w:r>
            <w:r>
              <w:rPr>
                <w:rFonts w:ascii="Arial" w:eastAsia="Calibri" w:hAnsi="Arial" w:cs="Arial"/>
                <w:sz w:val="18"/>
                <w:szCs w:val="18"/>
              </w:rPr>
              <w:t>Обществом</w:t>
            </w:r>
            <w:r>
              <w:rPr>
                <w:rFonts w:ascii="Arial" w:eastAsia="Calibri" w:hAnsi="Arial" w:cs="Times New Roman"/>
                <w:sz w:val="18"/>
              </w:rPr>
              <w:t xml:space="preserve"> или иными обстоятельствами</w:t>
            </w:r>
            <w:r>
              <w:rPr>
                <w:rFonts w:ascii="Arial" w:eastAsia="Calibri" w:hAnsi="Arial" w:cs="Arial"/>
                <w:sz w:val="18"/>
                <w:szCs w:val="18"/>
              </w:rPr>
              <w:t>.</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 Соблюдается.</w:t>
            </w:r>
          </w:p>
        </w:tc>
        <w:tc>
          <w:tcPr>
            <w:tcW w:w="3966"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4.3</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Система вознаграждения членов исполнительных органов и иных ключевых руководящих работников </w:t>
            </w:r>
            <w:r>
              <w:rPr>
                <w:rFonts w:ascii="Arial" w:eastAsia="Calibri" w:hAnsi="Arial" w:cs="Arial"/>
                <w:b/>
                <w:sz w:val="18"/>
                <w:szCs w:val="18"/>
              </w:rPr>
              <w:t>Общества</w:t>
            </w:r>
            <w:r>
              <w:rPr>
                <w:rFonts w:ascii="Arial" w:eastAsia="Calibri" w:hAnsi="Arial" w:cs="Times New Roman"/>
                <w:b/>
                <w:sz w:val="18"/>
              </w:rPr>
              <w:t xml:space="preserve"> предусматривает зависимость вознаграждения от результата работы </w:t>
            </w:r>
            <w:r>
              <w:rPr>
                <w:rFonts w:ascii="Arial" w:eastAsia="Calibri" w:hAnsi="Arial" w:cs="Arial"/>
                <w:b/>
                <w:sz w:val="18"/>
                <w:szCs w:val="18"/>
              </w:rPr>
              <w:t>Общества</w:t>
            </w:r>
            <w:r>
              <w:rPr>
                <w:rFonts w:ascii="Arial" w:eastAsia="Calibri" w:hAnsi="Arial" w:cs="Times New Roman"/>
                <w:b/>
                <w:sz w:val="18"/>
              </w:rPr>
              <w:t xml:space="preserve"> и их личного вклада в достижение этого результата</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4.3.1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Вознаграждение членов исполнительных органов и иных ключевых руководящих работников </w:t>
            </w:r>
            <w:r>
              <w:rPr>
                <w:rFonts w:ascii="Arial" w:eastAsia="Times New Roman" w:hAnsi="Arial" w:cs="Arial"/>
                <w:sz w:val="18"/>
                <w:szCs w:val="18"/>
              </w:rPr>
              <w:t>Общества</w:t>
            </w:r>
            <w:r>
              <w:rPr>
                <w:rFonts w:ascii="Arial" w:eastAsia="Calibri" w:hAnsi="Arial" w:cs="Times New Roman"/>
                <w:sz w:val="18"/>
              </w:rPr>
              <w:t xml:space="preserve"> определяется таким образом, чтобы обеспечивать разумное и обоснованное соотношение </w:t>
            </w:r>
            <w:r>
              <w:rPr>
                <w:rFonts w:ascii="Arial" w:eastAsia="Times New Roman" w:hAnsi="Arial" w:cs="Arial"/>
                <w:sz w:val="18"/>
                <w:szCs w:val="18"/>
              </w:rPr>
              <w:t xml:space="preserve">фиксированной части вознаграждения и </w:t>
            </w:r>
            <w:r>
              <w:rPr>
                <w:rFonts w:ascii="Arial" w:eastAsia="Times New Roman" w:hAnsi="Arial" w:cs="Arial"/>
                <w:sz w:val="18"/>
                <w:szCs w:val="18"/>
              </w:rPr>
              <w:lastRenderedPageBreak/>
              <w:t>переменной части вознаграждения, зависящей от результатов работы Общества и личного (индивидуального) вклада работника в конечный результат.</w:t>
            </w:r>
          </w:p>
        </w:tc>
        <w:tc>
          <w:tcPr>
            <w:tcW w:w="3827" w:type="dxa"/>
            <w:shd w:val="clear" w:color="auto" w:fill="DBE5F1"/>
          </w:tcPr>
          <w:p w:rsidR="00C81778" w:rsidRDefault="00AB0D4E" w:rsidP="00AB0D4E">
            <w:pPr>
              <w:widowControl w:val="0"/>
              <w:numPr>
                <w:ilvl w:val="0"/>
                <w:numId w:val="85"/>
              </w:numPr>
              <w:tabs>
                <w:tab w:val="left" w:pos="270"/>
              </w:tabs>
              <w:spacing w:after="0" w:line="240" w:lineRule="auto"/>
              <w:ind w:left="28" w:hanging="28"/>
              <w:contextualSpacing/>
              <w:jc w:val="both"/>
              <w:rPr>
                <w:rFonts w:ascii="Arial" w:eastAsia="Calibri" w:hAnsi="Arial" w:cs="Times New Roman"/>
                <w:vanish/>
                <w:sz w:val="18"/>
              </w:rPr>
            </w:pPr>
            <w:r>
              <w:rPr>
                <w:rFonts w:ascii="Arial" w:eastAsia="Calibri" w:hAnsi="Arial" w:cs="Times New Roman"/>
                <w:sz w:val="18"/>
              </w:rPr>
              <w:lastRenderedPageBreak/>
              <w:t xml:space="preserve">В течение отчетного периода одобренные </w:t>
            </w:r>
            <w:r>
              <w:rPr>
                <w:rFonts w:ascii="Arial" w:eastAsia="Times New Roman" w:hAnsi="Arial" w:cs="Arial"/>
                <w:sz w:val="18"/>
                <w:szCs w:val="18"/>
              </w:rPr>
              <w:t>Советом</w:t>
            </w:r>
            <w:r>
              <w:rPr>
                <w:rFonts w:ascii="Arial" w:eastAsia="Calibri" w:hAnsi="Arial" w:cs="Times New Roman"/>
                <w:sz w:val="18"/>
              </w:rPr>
              <w:t xml:space="preserve"> директоров годовые показатели эффективности использовались при определении размера переменного вознаграждения членов исполнительных органов и иных ключевых руководящих </w:t>
            </w:r>
            <w:r>
              <w:rPr>
                <w:rFonts w:ascii="Arial" w:eastAsia="Times New Roman" w:hAnsi="Arial" w:cs="Arial"/>
                <w:sz w:val="18"/>
                <w:szCs w:val="18"/>
              </w:rPr>
              <w:t>работников Общества</w:t>
            </w:r>
            <w:r>
              <w:rPr>
                <w:rFonts w:ascii="Arial" w:eastAsia="Calibri" w:hAnsi="Arial" w:cs="Times New Roman"/>
                <w:sz w:val="18"/>
              </w:rPr>
              <w:t>.</w:t>
            </w:r>
          </w:p>
          <w:p w:rsidR="00C81778" w:rsidRDefault="00C81778" w:rsidP="00AB0D4E">
            <w:pPr>
              <w:widowControl w:val="0"/>
              <w:numPr>
                <w:ilvl w:val="0"/>
                <w:numId w:val="86"/>
              </w:numPr>
              <w:tabs>
                <w:tab w:val="left" w:pos="270"/>
              </w:tabs>
              <w:spacing w:after="0" w:line="240" w:lineRule="auto"/>
              <w:ind w:left="28" w:hanging="28"/>
              <w:contextualSpacing/>
              <w:jc w:val="both"/>
              <w:rPr>
                <w:rFonts w:ascii="Arial" w:eastAsia="Calibri" w:hAnsi="Arial" w:cs="Times New Roman"/>
                <w:sz w:val="18"/>
              </w:rPr>
            </w:pPr>
          </w:p>
          <w:p w:rsidR="00C81778" w:rsidRDefault="00AB0D4E">
            <w:pPr>
              <w:widowControl w:val="0"/>
              <w:spacing w:after="0" w:line="240" w:lineRule="auto"/>
              <w:contextualSpacing/>
              <w:jc w:val="both"/>
              <w:rPr>
                <w:rFonts w:ascii="Arial" w:eastAsia="Calibri" w:hAnsi="Arial" w:cs="Times New Roman"/>
                <w:sz w:val="18"/>
              </w:rPr>
            </w:pPr>
            <w:r>
              <w:rPr>
                <w:rFonts w:ascii="Arial" w:eastAsia="Calibri" w:hAnsi="Arial" w:cs="Times New Roman"/>
                <w:sz w:val="18"/>
              </w:rPr>
              <w:lastRenderedPageBreak/>
              <w:t>2. В ходе последней проведенной оценки системы вознаграждения членов исполнительных органов и иных ключевых руководящих работников Общества, Совет директоров (комитет по вознаграждениям) удостоверился в том, что в Обществе применяется эффективное соотношение фиксированной части вознаграждения и переменной части вознаграждения.</w:t>
            </w:r>
          </w:p>
          <w:p w:rsidR="00C81778" w:rsidRDefault="00AB0D4E" w:rsidP="00AB0D4E">
            <w:pPr>
              <w:widowControl w:val="0"/>
              <w:numPr>
                <w:ilvl w:val="0"/>
                <w:numId w:val="87"/>
              </w:numPr>
              <w:tabs>
                <w:tab w:val="left" w:pos="27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При определении размера выплачиваемого вознаграждения членам исполнительных органов и иным ключевым руководящим работникам Общества учитываются риски, которое несет Общество, с тем чтобы избежать создания стимулов к принятию чрезмерно рискованных управленческих решений.</w:t>
            </w:r>
          </w:p>
        </w:tc>
        <w:tc>
          <w:tcPr>
            <w:tcW w:w="2692" w:type="dxa"/>
            <w:shd w:val="clear" w:color="auto" w:fill="DBE5F1"/>
          </w:tcPr>
          <w:p w:rsidR="00C81778" w:rsidRDefault="00AB0D4E">
            <w:pPr>
              <w:widowControl w:val="0"/>
              <w:spacing w:after="0" w:line="240" w:lineRule="auto"/>
              <w:contextualSpacing/>
              <w:rPr>
                <w:rFonts w:ascii="Arial" w:eastAsia="Times New Roman" w:hAnsi="Arial" w:cs="Arial"/>
                <w:sz w:val="18"/>
                <w:szCs w:val="18"/>
              </w:rPr>
            </w:pPr>
            <w:r>
              <w:rPr>
                <w:rFonts w:ascii="Arial" w:eastAsia="Times New Roman" w:hAnsi="Arial" w:cs="Arial"/>
                <w:sz w:val="18"/>
                <w:szCs w:val="18"/>
              </w:rPr>
              <w:lastRenderedPageBreak/>
              <w:t>Соблюдается.</w:t>
            </w:r>
          </w:p>
          <w:p w:rsidR="00C81778" w:rsidRDefault="00C81778">
            <w:pPr>
              <w:widowControl w:val="0"/>
              <w:spacing w:after="0" w:line="240" w:lineRule="auto"/>
              <w:ind w:left="357"/>
              <w:contextualSpacing/>
              <w:rPr>
                <w:rFonts w:ascii="Arial" w:eastAsia="Calibri" w:hAnsi="Arial" w:cs="Times New Roman"/>
                <w:sz w:val="18"/>
              </w:rPr>
            </w:pPr>
          </w:p>
        </w:tc>
        <w:tc>
          <w:tcPr>
            <w:tcW w:w="3966" w:type="dxa"/>
            <w:shd w:val="clear" w:color="auto" w:fill="DBE5F1"/>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соблюдается.</w:t>
            </w:r>
          </w:p>
          <w:p w:rsidR="00C81778" w:rsidRDefault="00C81778">
            <w:pPr>
              <w:widowControl w:val="0"/>
              <w:tabs>
                <w:tab w:val="left" w:pos="369"/>
              </w:tabs>
              <w:spacing w:after="200" w:line="276" w:lineRule="auto"/>
              <w:contextualSpacing/>
              <w:jc w:val="both"/>
              <w:rPr>
                <w:rFonts w:ascii="Arial" w:eastAsia="Calibri" w:hAnsi="Arial" w:cs="Times New Roman"/>
                <w:sz w:val="18"/>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2: соблюдается.</w:t>
            </w:r>
          </w:p>
          <w:p w:rsidR="00C81778" w:rsidRDefault="00C81778">
            <w:pPr>
              <w:widowControl w:val="0"/>
              <w:tabs>
                <w:tab w:val="left" w:pos="369"/>
              </w:tabs>
              <w:spacing w:after="200" w:line="276" w:lineRule="auto"/>
              <w:contextualSpacing/>
              <w:jc w:val="both"/>
              <w:rPr>
                <w:rFonts w:ascii="Arial" w:eastAsia="Calibri" w:hAnsi="Arial" w:cs="Times New Roman"/>
                <w:sz w:val="18"/>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3: соблюдается.</w:t>
            </w:r>
          </w:p>
          <w:p w:rsidR="00C81778" w:rsidRDefault="00C81778">
            <w:pPr>
              <w:widowControl w:val="0"/>
              <w:tabs>
                <w:tab w:val="left" w:pos="369"/>
              </w:tabs>
              <w:spacing w:after="200" w:line="276" w:lineRule="auto"/>
              <w:contextualSpacing/>
              <w:jc w:val="both"/>
              <w:rPr>
                <w:rFonts w:ascii="Arial" w:eastAsia="Calibri" w:hAnsi="Arial" w:cs="Times New Roman"/>
                <w:sz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4.3.2</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Общество внедрило программу долгосрочной мотивации членов исполнительных органов и иных ключевых руководящих работников </w:t>
            </w:r>
            <w:r>
              <w:rPr>
                <w:rFonts w:ascii="Arial" w:eastAsia="Times New Roman" w:hAnsi="Arial" w:cs="Arial"/>
                <w:sz w:val="18"/>
                <w:szCs w:val="18"/>
              </w:rPr>
              <w:t>Общества</w:t>
            </w:r>
            <w:r>
              <w:rPr>
                <w:rFonts w:ascii="Arial" w:eastAsia="Calibri" w:hAnsi="Arial" w:cs="Times New Roman"/>
                <w:sz w:val="18"/>
              </w:rPr>
              <w:t xml:space="preserve"> с использованием акций </w:t>
            </w:r>
            <w:r>
              <w:rPr>
                <w:rFonts w:ascii="Arial" w:eastAsia="Times New Roman" w:hAnsi="Arial" w:cs="Arial"/>
                <w:sz w:val="18"/>
                <w:szCs w:val="18"/>
              </w:rPr>
              <w:t>Общества</w:t>
            </w:r>
            <w:r>
              <w:rPr>
                <w:rFonts w:ascii="Arial" w:eastAsia="Calibri" w:hAnsi="Arial" w:cs="Times New Roman"/>
                <w:sz w:val="18"/>
              </w:rPr>
              <w:t xml:space="preserve"> (опционов или других производных финансовых инструментов, базисным активом по которым являются акции </w:t>
            </w:r>
            <w:r>
              <w:rPr>
                <w:rFonts w:ascii="Arial" w:eastAsia="Times New Roman" w:hAnsi="Arial" w:cs="Arial"/>
                <w:sz w:val="18"/>
                <w:szCs w:val="18"/>
              </w:rPr>
              <w:t>Общества).</w:t>
            </w:r>
          </w:p>
        </w:tc>
        <w:tc>
          <w:tcPr>
            <w:tcW w:w="3827" w:type="dxa"/>
          </w:tcPr>
          <w:p w:rsidR="00C81778" w:rsidRDefault="00AB0D4E">
            <w:pPr>
              <w:widowControl w:val="0"/>
              <w:spacing w:after="200" w:line="276" w:lineRule="auto"/>
              <w:contextualSpacing/>
              <w:jc w:val="both"/>
              <w:rPr>
                <w:rFonts w:ascii="Arial" w:eastAsia="Calibri" w:hAnsi="Arial" w:cs="Times New Roman"/>
                <w:sz w:val="18"/>
              </w:rPr>
            </w:pPr>
            <w:r>
              <w:rPr>
                <w:rFonts w:eastAsia="Calibri" w:cs="Times New Roman"/>
              </w:rPr>
              <w:t xml:space="preserve">1. </w:t>
            </w:r>
            <w:r>
              <w:rPr>
                <w:rFonts w:ascii="Arial" w:eastAsia="Calibri" w:hAnsi="Arial" w:cs="Times New Roman"/>
                <w:sz w:val="18"/>
              </w:rPr>
              <w:t>В случае, если Общество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 программа предусматривает, что право реализации таких акций и иных финансовых инструментов наступает не ранее</w:t>
            </w:r>
            <w:r>
              <w:rPr>
                <w:rFonts w:ascii="Arial" w:eastAsia="Times New Roman" w:hAnsi="Arial" w:cs="Arial"/>
                <w:sz w:val="18"/>
                <w:szCs w:val="18"/>
              </w:rPr>
              <w:t>,</w:t>
            </w:r>
            <w:r>
              <w:rPr>
                <w:rFonts w:ascii="Arial" w:eastAsia="Calibri" w:hAnsi="Arial" w:cs="Times New Roman"/>
                <w:sz w:val="18"/>
              </w:rPr>
              <w:t xml:space="preserve"> чем через три года</w:t>
            </w:r>
            <w:r>
              <w:rPr>
                <w:rFonts w:ascii="Arial" w:eastAsia="Times New Roman" w:hAnsi="Arial" w:cs="Arial"/>
                <w:sz w:val="18"/>
                <w:szCs w:val="18"/>
              </w:rPr>
              <w:t>,</w:t>
            </w:r>
            <w:r>
              <w:rPr>
                <w:rFonts w:ascii="Arial" w:eastAsia="Calibri" w:hAnsi="Arial" w:cs="Times New Roman"/>
                <w:sz w:val="18"/>
              </w:rPr>
              <w:t xml:space="preserve"> с момента их предоставления. При этом право их реализации обусловлено достижением определенных показателей деятельности </w:t>
            </w:r>
            <w:r>
              <w:rPr>
                <w:rFonts w:ascii="Arial" w:eastAsia="Times New Roman" w:hAnsi="Arial" w:cs="Arial"/>
                <w:sz w:val="18"/>
                <w:szCs w:val="18"/>
              </w:rPr>
              <w:t>Общества.</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С</w:t>
            </w:r>
            <w:r>
              <w:rPr>
                <w:rFonts w:ascii="Arial" w:eastAsia="Calibri" w:hAnsi="Arial" w:cs="Times New Roman"/>
                <w:sz w:val="18"/>
              </w:rPr>
              <w:t>облюдается</w:t>
            </w:r>
            <w:r>
              <w:rPr>
                <w:rFonts w:ascii="Arial" w:eastAsia="Times New Roman" w:hAnsi="Arial" w:cs="Arial"/>
                <w:sz w:val="18"/>
                <w:szCs w:val="18"/>
              </w:rPr>
              <w:t>.</w:t>
            </w:r>
          </w:p>
        </w:tc>
        <w:tc>
          <w:tcPr>
            <w:tcW w:w="3966" w:type="dxa"/>
          </w:tcPr>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AB0D4E">
            <w:pPr>
              <w:widowControl w:val="0"/>
              <w:spacing w:after="0" w:line="240" w:lineRule="auto"/>
              <w:contextualSpacing/>
              <w:jc w:val="both"/>
              <w:rPr>
                <w:rFonts w:ascii="Arial" w:eastAsia="Calibri" w:hAnsi="Arial" w:cs="Times New Roman"/>
                <w:sz w:val="18"/>
              </w:rPr>
            </w:pPr>
            <w:r>
              <w:rPr>
                <w:rFonts w:ascii="Arial" w:eastAsia="Calibri" w:hAnsi="Arial" w:cs="Times New Roman"/>
                <w:sz w:val="18"/>
              </w:rPr>
              <w:t>Комментарий к соблюдению критерия 1: в Обществе не внедрена опционная программа, Положение об оплате труда и материальном стимулировании высших менеджеров Общества (утв. Советом директоров, протокол от 23.10.2023 №309) не предусматривает предоставление акций.</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4.3.3</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Сумма компенсации </w:t>
            </w:r>
            <w:r>
              <w:rPr>
                <w:rFonts w:ascii="Arial" w:eastAsia="Calibri" w:hAnsi="Arial" w:cs="Arial"/>
                <w:sz w:val="18"/>
                <w:szCs w:val="18"/>
              </w:rPr>
              <w:t>(</w:t>
            </w:r>
            <w:r>
              <w:rPr>
                <w:rFonts w:ascii="Arial" w:eastAsia="Calibri" w:hAnsi="Arial" w:cs="Times New Roman"/>
                <w:sz w:val="18"/>
              </w:rPr>
              <w:t>золотой парашют</w:t>
            </w:r>
            <w:r>
              <w:rPr>
                <w:rFonts w:ascii="Arial" w:eastAsia="Calibri" w:hAnsi="Arial" w:cs="Arial"/>
                <w:sz w:val="18"/>
                <w:szCs w:val="18"/>
              </w:rPr>
              <w:t>),</w:t>
            </w:r>
            <w:r>
              <w:rPr>
                <w:rFonts w:ascii="Arial" w:eastAsia="Calibri" w:hAnsi="Arial" w:cs="Times New Roman"/>
                <w:sz w:val="18"/>
              </w:rPr>
              <w:t xml:space="preserve"> выплачиваемая </w:t>
            </w:r>
            <w:r>
              <w:rPr>
                <w:rFonts w:ascii="Arial" w:eastAsia="Calibri" w:hAnsi="Arial" w:cs="Arial"/>
                <w:sz w:val="18"/>
                <w:szCs w:val="18"/>
              </w:rPr>
              <w:t>Обществом</w:t>
            </w:r>
            <w:r>
              <w:rPr>
                <w:rFonts w:ascii="Arial" w:eastAsia="Calibri" w:hAnsi="Arial" w:cs="Times New Roman"/>
                <w:sz w:val="18"/>
              </w:rPr>
              <w:t xml:space="preserve"> в случае досрочного прекращения полномочий членам исполнительных органов или ключевых руководящих работников по инициативе </w:t>
            </w:r>
            <w:r>
              <w:rPr>
                <w:rFonts w:ascii="Arial" w:eastAsia="Calibri" w:hAnsi="Arial" w:cs="Arial"/>
                <w:sz w:val="18"/>
                <w:szCs w:val="18"/>
              </w:rPr>
              <w:t>Общества</w:t>
            </w:r>
            <w:r>
              <w:rPr>
                <w:rFonts w:ascii="Arial" w:eastAsia="Calibri" w:hAnsi="Arial" w:cs="Times New Roman"/>
                <w:sz w:val="18"/>
              </w:rPr>
              <w:t xml:space="preserve"> и при отсутствии с их стороны недобросовестных действий, не превышает двукратного размера фиксированной части годового вознаграждения</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88"/>
              </w:numPr>
              <w:tabs>
                <w:tab w:val="left" w:pos="31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Сумма компенсации (золотой парашют), выплачиваемая Обществом в случае досрочного прекращения полномочий членам исполнительных органов или ключевым руководящим работникам по инициативе Общества и при отсутствии с их стороны недобросовестных действий в отчетном периоде не превышала двукратного размера фиксированной части годового вознаграждения</w:t>
            </w:r>
            <w:r>
              <w:rPr>
                <w:rFonts w:ascii="Arial" w:eastAsia="Calibri" w:hAnsi="Arial" w:cs="Arial"/>
                <w:sz w:val="18"/>
                <w:szCs w:val="18"/>
              </w:rPr>
              <w:t>.</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t>Соблюдается.</w:t>
            </w:r>
          </w:p>
        </w:tc>
        <w:tc>
          <w:tcPr>
            <w:tcW w:w="3966"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5.1</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В </w:t>
            </w:r>
            <w:r>
              <w:rPr>
                <w:rFonts w:ascii="Arial" w:eastAsia="Calibri" w:hAnsi="Arial" w:cs="Arial"/>
                <w:b/>
                <w:sz w:val="18"/>
                <w:szCs w:val="18"/>
              </w:rPr>
              <w:t>Обществе</w:t>
            </w:r>
            <w:r>
              <w:rPr>
                <w:rFonts w:ascii="Arial" w:eastAsia="Calibri" w:hAnsi="Arial" w:cs="Times New Roman"/>
                <w:b/>
                <w:sz w:val="18"/>
              </w:rPr>
              <w:t xml:space="preserve">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w:t>
            </w:r>
            <w:r>
              <w:rPr>
                <w:rFonts w:ascii="Arial" w:eastAsia="Calibri" w:hAnsi="Arial" w:cs="Arial"/>
                <w:b/>
                <w:sz w:val="18"/>
                <w:szCs w:val="18"/>
              </w:rPr>
              <w:t>Обществом</w:t>
            </w:r>
            <w:r>
              <w:rPr>
                <w:rFonts w:ascii="Arial" w:eastAsia="Calibri" w:hAnsi="Arial" w:cs="Times New Roman"/>
                <w:b/>
                <w:sz w:val="18"/>
              </w:rPr>
              <w:t xml:space="preserve"> целей</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5.1.1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Советом директоров </w:t>
            </w:r>
            <w:r>
              <w:rPr>
                <w:rFonts w:ascii="Arial" w:eastAsia="Times New Roman" w:hAnsi="Arial" w:cs="Arial"/>
                <w:sz w:val="18"/>
                <w:szCs w:val="18"/>
              </w:rPr>
              <w:t>Общества</w:t>
            </w:r>
            <w:r>
              <w:rPr>
                <w:rFonts w:ascii="Arial" w:eastAsia="Calibri" w:hAnsi="Arial" w:cs="Times New Roman"/>
                <w:sz w:val="18"/>
              </w:rPr>
              <w:t xml:space="preserve"> определены принципы и подходы к организации системы управления рисками и внутреннего контроля в </w:t>
            </w:r>
            <w:r>
              <w:rPr>
                <w:rFonts w:ascii="Arial" w:eastAsia="Times New Roman" w:hAnsi="Arial" w:cs="Arial"/>
                <w:sz w:val="18"/>
                <w:szCs w:val="18"/>
              </w:rPr>
              <w:t>Обществе.</w:t>
            </w:r>
          </w:p>
        </w:tc>
        <w:tc>
          <w:tcPr>
            <w:tcW w:w="3827" w:type="dxa"/>
            <w:shd w:val="clear" w:color="auto" w:fill="DBE5F1"/>
          </w:tcPr>
          <w:p w:rsidR="00C81778" w:rsidRDefault="00AB0D4E" w:rsidP="00AB0D4E">
            <w:pPr>
              <w:widowControl w:val="0"/>
              <w:numPr>
                <w:ilvl w:val="0"/>
                <w:numId w:val="89"/>
              </w:numPr>
              <w:tabs>
                <w:tab w:val="left" w:pos="312"/>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Функции различных органов управления и подразделений Общества в системе управления рисками и внутреннего контроля четко определены во внутренних документах / соответствующей политике </w:t>
            </w:r>
            <w:r>
              <w:rPr>
                <w:rFonts w:ascii="Arial" w:eastAsia="Times New Roman" w:hAnsi="Arial" w:cs="Arial"/>
                <w:sz w:val="18"/>
                <w:szCs w:val="18"/>
              </w:rPr>
              <w:t>Общества</w:t>
            </w:r>
            <w:r>
              <w:rPr>
                <w:rFonts w:ascii="Arial" w:eastAsia="Calibri" w:hAnsi="Arial" w:cs="Times New Roman"/>
                <w:sz w:val="18"/>
              </w:rPr>
              <w:t xml:space="preserve">, одобренной </w:t>
            </w:r>
            <w:r>
              <w:rPr>
                <w:rFonts w:ascii="Arial" w:eastAsia="Times New Roman" w:hAnsi="Arial" w:cs="Arial"/>
                <w:sz w:val="18"/>
                <w:szCs w:val="18"/>
              </w:rPr>
              <w:t>Советом</w:t>
            </w:r>
            <w:r>
              <w:rPr>
                <w:rFonts w:ascii="Arial" w:eastAsia="Calibri" w:hAnsi="Arial" w:cs="Times New Roman"/>
                <w:sz w:val="18"/>
              </w:rPr>
              <w:t xml:space="preserve"> директоров</w:t>
            </w:r>
            <w:r>
              <w:rPr>
                <w:rFonts w:ascii="Arial" w:eastAsia="Times New Roman" w:hAnsi="Arial" w:cs="Arial"/>
                <w:sz w:val="18"/>
                <w:szCs w:val="18"/>
              </w:rPr>
              <w:t>.</w:t>
            </w:r>
          </w:p>
        </w:tc>
        <w:tc>
          <w:tcPr>
            <w:tcW w:w="2692" w:type="dxa"/>
            <w:shd w:val="clear" w:color="auto" w:fill="DBE5F1"/>
          </w:tcPr>
          <w:p w:rsidR="00C81778" w:rsidRDefault="00AB0D4E">
            <w:pPr>
              <w:widowControl w:val="0"/>
              <w:spacing w:after="200" w:line="276" w:lineRule="auto"/>
              <w:rPr>
                <w:rFonts w:ascii="Arial" w:eastAsia="Calibri" w:hAnsi="Arial" w:cs="Times New Roman"/>
                <w:sz w:val="18"/>
              </w:rPr>
            </w:pPr>
            <w:r>
              <w:rPr>
                <w:rFonts w:ascii="Arial" w:eastAsia="Times New Roman" w:hAnsi="Arial" w:cs="Arial"/>
                <w:sz w:val="18"/>
                <w:szCs w:val="18"/>
              </w:rPr>
              <w:t>Соблюдается.</w:t>
            </w:r>
          </w:p>
        </w:tc>
        <w:tc>
          <w:tcPr>
            <w:tcW w:w="3966"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5.1.2</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Исполнительные органы </w:t>
            </w:r>
            <w:r>
              <w:rPr>
                <w:rFonts w:ascii="Arial" w:eastAsia="Calibri" w:hAnsi="Arial" w:cs="Arial"/>
                <w:sz w:val="18"/>
                <w:szCs w:val="18"/>
              </w:rPr>
              <w:t>Общества</w:t>
            </w:r>
            <w:r>
              <w:rPr>
                <w:rFonts w:ascii="Arial" w:eastAsia="Calibri" w:hAnsi="Arial" w:cs="Times New Roman"/>
                <w:sz w:val="18"/>
              </w:rPr>
              <w:t xml:space="preserve"> обеспечивают создание и поддержание функционирования эффективной системы управления рисками и внутреннего контроля в </w:t>
            </w:r>
            <w:r>
              <w:rPr>
                <w:rFonts w:ascii="Arial" w:eastAsia="Calibri" w:hAnsi="Arial" w:cs="Arial"/>
                <w:sz w:val="18"/>
                <w:szCs w:val="18"/>
              </w:rPr>
              <w:t>Обществе.</w:t>
            </w:r>
          </w:p>
        </w:tc>
        <w:tc>
          <w:tcPr>
            <w:tcW w:w="3827" w:type="dxa"/>
          </w:tcPr>
          <w:p w:rsidR="00C81778" w:rsidRDefault="00AB0D4E" w:rsidP="00AB0D4E">
            <w:pPr>
              <w:widowControl w:val="0"/>
              <w:numPr>
                <w:ilvl w:val="0"/>
                <w:numId w:val="90"/>
              </w:numPr>
              <w:tabs>
                <w:tab w:val="left" w:pos="27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Исполнительные органы Общества обеспечили распределение обязанностей, полномочий, ответственности в области управления рисками и внутреннего контроля между подотчетными им руководителями (начальниками) подразделений и отделов.</w:t>
            </w:r>
          </w:p>
        </w:tc>
        <w:tc>
          <w:tcPr>
            <w:tcW w:w="2692" w:type="dxa"/>
          </w:tcPr>
          <w:p w:rsidR="00C81778" w:rsidRDefault="00AB0D4E">
            <w:pPr>
              <w:widowControl w:val="0"/>
              <w:spacing w:after="200" w:line="276" w:lineRule="auto"/>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5.1.3</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Система управления рисками и внутреннего контроля в </w:t>
            </w:r>
            <w:r>
              <w:rPr>
                <w:rFonts w:ascii="Arial" w:eastAsia="Calibri" w:hAnsi="Arial" w:cs="Arial"/>
                <w:sz w:val="18"/>
                <w:szCs w:val="18"/>
              </w:rPr>
              <w:t>Обществе</w:t>
            </w:r>
            <w:r>
              <w:rPr>
                <w:rFonts w:ascii="Arial" w:eastAsia="Calibri" w:hAnsi="Arial" w:cs="Times New Roman"/>
                <w:sz w:val="18"/>
              </w:rPr>
              <w:t xml:space="preserve"> обеспечивает объективное, справедливое и ясное представление о текущем состоянии и перспективах </w:t>
            </w:r>
            <w:r>
              <w:rPr>
                <w:rFonts w:ascii="Arial" w:eastAsia="Calibri" w:hAnsi="Arial" w:cs="Arial"/>
                <w:sz w:val="18"/>
                <w:szCs w:val="18"/>
              </w:rPr>
              <w:t>Общества</w:t>
            </w:r>
            <w:r>
              <w:rPr>
                <w:rFonts w:ascii="Arial" w:eastAsia="Calibri" w:hAnsi="Arial" w:cs="Times New Roman"/>
                <w:sz w:val="18"/>
              </w:rPr>
              <w:t xml:space="preserve">, целостность и прозрачность отчетности </w:t>
            </w:r>
            <w:r>
              <w:rPr>
                <w:rFonts w:ascii="Arial" w:eastAsia="Calibri" w:hAnsi="Arial" w:cs="Arial"/>
                <w:sz w:val="18"/>
                <w:szCs w:val="18"/>
              </w:rPr>
              <w:t>Общества</w:t>
            </w:r>
            <w:r>
              <w:rPr>
                <w:rFonts w:ascii="Arial" w:eastAsia="Calibri" w:hAnsi="Arial" w:cs="Times New Roman"/>
                <w:sz w:val="18"/>
              </w:rPr>
              <w:t xml:space="preserve">, разумность и приемлемость принимаемых </w:t>
            </w:r>
            <w:r>
              <w:rPr>
                <w:rFonts w:ascii="Arial" w:eastAsia="Calibri" w:hAnsi="Arial" w:cs="Arial"/>
                <w:sz w:val="18"/>
                <w:szCs w:val="18"/>
              </w:rPr>
              <w:t>Обществом</w:t>
            </w:r>
            <w:r>
              <w:rPr>
                <w:rFonts w:ascii="Arial" w:eastAsia="Calibri" w:hAnsi="Arial" w:cs="Times New Roman"/>
                <w:sz w:val="18"/>
              </w:rPr>
              <w:t xml:space="preserve"> рисков</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91"/>
              </w:numPr>
              <w:tabs>
                <w:tab w:val="left" w:pos="375"/>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В Обществе утверждена антикоррупционная политика.</w:t>
            </w:r>
          </w:p>
          <w:p w:rsidR="00C81778" w:rsidRDefault="00AB0D4E" w:rsidP="00AB0D4E">
            <w:pPr>
              <w:widowControl w:val="0"/>
              <w:numPr>
                <w:ilvl w:val="0"/>
                <w:numId w:val="92"/>
              </w:numPr>
              <w:tabs>
                <w:tab w:val="left" w:pos="375"/>
              </w:tabs>
              <w:spacing w:after="0" w:line="240" w:lineRule="auto"/>
              <w:ind w:left="28" w:firstLine="0"/>
              <w:contextualSpacing/>
              <w:jc w:val="both"/>
              <w:rPr>
                <w:rFonts w:ascii="Arial" w:eastAsia="Calibri" w:hAnsi="Arial" w:cs="Times New Roman"/>
                <w:sz w:val="18"/>
              </w:rPr>
            </w:pPr>
            <w:r>
              <w:rPr>
                <w:rFonts w:ascii="Arial" w:eastAsia="Calibri" w:hAnsi="Arial" w:cs="Arial"/>
                <w:sz w:val="18"/>
                <w:szCs w:val="18"/>
              </w:rPr>
              <w:t>В Обществе организован безопасный, конфиденциальный и доступный способ (горячая линия) информирования Совета директоров или комитетов Совета директоров по аудиту о фактах нарушения законодательства, внутренних процедур, кодекса этики Общества.</w:t>
            </w:r>
          </w:p>
        </w:tc>
        <w:tc>
          <w:tcPr>
            <w:tcW w:w="2692" w:type="dxa"/>
            <w:shd w:val="clear" w:color="auto" w:fill="DBE5F1"/>
          </w:tcPr>
          <w:p w:rsidR="00C81778" w:rsidRDefault="00AB0D4E">
            <w:pPr>
              <w:widowControl w:val="0"/>
              <w:spacing w:after="0" w:line="240" w:lineRule="auto"/>
              <w:ind w:left="31"/>
              <w:contextualSpacing/>
              <w:rPr>
                <w:rFonts w:ascii="Arial" w:eastAsia="Times New Roman" w:hAnsi="Arial" w:cs="Arial"/>
                <w:sz w:val="18"/>
                <w:szCs w:val="18"/>
              </w:rPr>
            </w:pPr>
            <w:r>
              <w:rPr>
                <w:rFonts w:ascii="Arial" w:eastAsia="Times New Roman" w:hAnsi="Arial" w:cs="Arial"/>
                <w:sz w:val="18"/>
                <w:szCs w:val="18"/>
              </w:rPr>
              <w:t>Частично соблюдается.</w:t>
            </w:r>
          </w:p>
          <w:p w:rsidR="00C81778" w:rsidRDefault="00C81778">
            <w:pPr>
              <w:widowControl w:val="0"/>
              <w:spacing w:after="0" w:line="240" w:lineRule="auto"/>
              <w:ind w:left="31"/>
              <w:contextualSpacing/>
              <w:rPr>
                <w:rFonts w:ascii="Arial" w:eastAsia="Times New Roman" w:hAnsi="Arial" w:cs="Arial"/>
                <w:sz w:val="18"/>
                <w:szCs w:val="18"/>
              </w:rPr>
            </w:pPr>
          </w:p>
        </w:tc>
        <w:tc>
          <w:tcPr>
            <w:tcW w:w="3966" w:type="dxa"/>
            <w:shd w:val="clear" w:color="auto" w:fill="DBE5F1"/>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частично соблюдается.</w:t>
            </w:r>
          </w:p>
          <w:p w:rsidR="00C81778" w:rsidRDefault="00AB0D4E">
            <w:pPr>
              <w:spacing w:after="200" w:line="276" w:lineRule="auto"/>
              <w:jc w:val="both"/>
              <w:rPr>
                <w:rFonts w:ascii="Arial" w:eastAsia="Calibri" w:hAnsi="Arial" w:cs="Arial"/>
                <w:sz w:val="18"/>
                <w:szCs w:val="18"/>
              </w:rPr>
            </w:pPr>
            <w:r>
              <w:rPr>
                <w:rFonts w:ascii="Arial" w:eastAsia="Calibri" w:hAnsi="Arial" w:cs="Arial"/>
                <w:sz w:val="18"/>
                <w:szCs w:val="18"/>
              </w:rPr>
              <w:t>Антикоррупционная политика, как отдельный документ, в Обществе не утверждена. Однако соответствующие положения учтены в ряде других внутренних документов Общества:</w:t>
            </w:r>
          </w:p>
          <w:p w:rsidR="00C81778" w:rsidRDefault="00AB0D4E">
            <w:pPr>
              <w:spacing w:after="200" w:line="276" w:lineRule="auto"/>
              <w:jc w:val="both"/>
              <w:rPr>
                <w:rFonts w:ascii="Arial" w:eastAsia="Calibri" w:hAnsi="Arial" w:cs="Arial"/>
                <w:sz w:val="18"/>
                <w:szCs w:val="18"/>
              </w:rPr>
            </w:pPr>
            <w:r>
              <w:rPr>
                <w:rFonts w:ascii="Arial" w:eastAsia="Calibri" w:hAnsi="Arial" w:cs="Arial"/>
                <w:sz w:val="18"/>
                <w:szCs w:val="18"/>
              </w:rPr>
              <w:t>- Кодекс корпоративной этики ПАО «ОГК-2» (утв. решением Совета директоров, Протокол от 18.05.2023 №299);</w:t>
            </w:r>
          </w:p>
          <w:p w:rsidR="00C81778" w:rsidRDefault="00AB0D4E">
            <w:pPr>
              <w:spacing w:after="200" w:line="276" w:lineRule="auto"/>
              <w:jc w:val="both"/>
              <w:rPr>
                <w:rFonts w:ascii="Arial" w:eastAsia="Calibri" w:hAnsi="Arial" w:cs="Arial"/>
                <w:sz w:val="18"/>
                <w:szCs w:val="18"/>
              </w:rPr>
            </w:pPr>
            <w:r>
              <w:rPr>
                <w:rFonts w:ascii="Arial" w:eastAsia="Calibri" w:hAnsi="Arial" w:cs="Arial"/>
                <w:sz w:val="18"/>
                <w:szCs w:val="18"/>
              </w:rPr>
              <w:t>- Положение о закупках товаров, работ и услуг ПАО «ОГК-2» (утв. решением Совета директоров, протокол № 257 от 21.04.2021) с изменениями, утвержденными решениями Совета директоров ПАО «ОГК-2» (протокол № 262 от 29.06.2021, протокол № 265 от 22.09.2021, протокол № 266 от 14.10.2021, протокол № 273 от 16.03.2022, протокол № 279 от 10.06.2022, протокол № 282 от 29.07.2022, протокол № 286 от 19.09.2022, протокол № 296 от 27.03.2023);</w:t>
            </w:r>
          </w:p>
          <w:p w:rsidR="00C81778" w:rsidRDefault="00AB0D4E">
            <w:pPr>
              <w:spacing w:after="200" w:line="276" w:lineRule="auto"/>
              <w:jc w:val="both"/>
              <w:rPr>
                <w:rFonts w:ascii="Arial" w:eastAsia="Calibri" w:hAnsi="Arial" w:cs="Arial"/>
                <w:sz w:val="18"/>
                <w:szCs w:val="18"/>
              </w:rPr>
            </w:pPr>
            <w:r>
              <w:rPr>
                <w:rFonts w:ascii="Arial" w:eastAsia="Calibri" w:hAnsi="Arial" w:cs="Arial"/>
                <w:sz w:val="18"/>
                <w:szCs w:val="18"/>
              </w:rPr>
              <w:t>- Положение об управлении корпоративной защитой Общества;</w:t>
            </w:r>
          </w:p>
          <w:p w:rsidR="00C81778" w:rsidRDefault="00AB0D4E">
            <w:pPr>
              <w:spacing w:after="200" w:line="276" w:lineRule="auto"/>
              <w:ind w:left="25"/>
              <w:jc w:val="both"/>
              <w:rPr>
                <w:rFonts w:ascii="Arial" w:eastAsia="Calibri" w:hAnsi="Arial" w:cs="Arial"/>
                <w:sz w:val="18"/>
                <w:szCs w:val="18"/>
              </w:rPr>
            </w:pPr>
            <w:r>
              <w:rPr>
                <w:rFonts w:ascii="Arial" w:eastAsia="Calibri" w:hAnsi="Arial" w:cs="Arial"/>
                <w:sz w:val="18"/>
                <w:szCs w:val="18"/>
              </w:rPr>
              <w:lastRenderedPageBreak/>
              <w:t>- .</w:t>
            </w:r>
            <w:r>
              <w:rPr>
                <w:rFonts w:ascii="Times New Roman" w:eastAsia="Microsoft Sans Serif" w:hAnsi="Times New Roman" w:cs="Times New Roman"/>
                <w:sz w:val="20"/>
                <w:szCs w:val="20"/>
              </w:rPr>
              <w:t xml:space="preserve"> </w:t>
            </w:r>
            <w:r>
              <w:rPr>
                <w:rFonts w:ascii="Arial" w:eastAsia="Calibri" w:hAnsi="Arial" w:cs="Arial"/>
                <w:sz w:val="18"/>
                <w:szCs w:val="18"/>
              </w:rPr>
              <w:t>Положение о комиссии по конфликтам интересов Общества;</w:t>
            </w:r>
          </w:p>
          <w:p w:rsidR="00C81778" w:rsidRDefault="00AB0D4E">
            <w:pPr>
              <w:spacing w:after="200" w:line="276" w:lineRule="auto"/>
              <w:ind w:left="25"/>
              <w:jc w:val="both"/>
              <w:rPr>
                <w:rFonts w:ascii="Arial" w:eastAsia="Calibri" w:hAnsi="Arial" w:cs="Arial"/>
                <w:sz w:val="18"/>
                <w:szCs w:val="18"/>
              </w:rPr>
            </w:pPr>
            <w:r>
              <w:rPr>
                <w:rFonts w:ascii="Arial" w:eastAsia="Calibri" w:hAnsi="Arial" w:cs="Arial"/>
                <w:sz w:val="18"/>
                <w:szCs w:val="18"/>
              </w:rPr>
              <w:t>- Регламент по проведению аудита поставщиков ТМЦ.</w:t>
            </w:r>
          </w:p>
          <w:p w:rsidR="00C81778" w:rsidRDefault="00AB0D4E">
            <w:pPr>
              <w:spacing w:after="200" w:line="276" w:lineRule="auto"/>
              <w:jc w:val="both"/>
              <w:rPr>
                <w:rFonts w:ascii="Arial" w:eastAsia="Calibri" w:hAnsi="Arial" w:cs="Arial"/>
                <w:sz w:val="18"/>
                <w:szCs w:val="18"/>
              </w:rPr>
            </w:pPr>
            <w:r>
              <w:rPr>
                <w:rFonts w:ascii="Arial" w:eastAsia="Calibri" w:hAnsi="Arial" w:cs="Arial"/>
                <w:sz w:val="18"/>
                <w:szCs w:val="18"/>
              </w:rPr>
              <w:t>Кроме того, в Обществе действует «горячая линия» и адрес электронной почты, на которые принимаются обращения, связанные с нарушениями Кодекса корпоративной этики, включая случаи совершения коррупционных действий либо попыток их совершения. Поступающая информация оперативно направляется в Комиссию по корпоративной этике и блок по корпоративной защите.</w:t>
            </w:r>
          </w:p>
          <w:p w:rsidR="00C81778" w:rsidRDefault="00AB0D4E">
            <w:pPr>
              <w:widowControl w:val="0"/>
              <w:spacing w:after="200" w:line="276" w:lineRule="auto"/>
              <w:contextualSpacing/>
              <w:jc w:val="both"/>
              <w:rPr>
                <w:rFonts w:ascii="Arial" w:eastAsia="Calibri" w:hAnsi="Arial" w:cs="Arial"/>
                <w:sz w:val="18"/>
                <w:szCs w:val="18"/>
              </w:rPr>
            </w:pPr>
            <w:r>
              <w:rPr>
                <w:rFonts w:ascii="Arial" w:eastAsia="Calibri" w:hAnsi="Arial" w:cs="Arial"/>
                <w:sz w:val="18"/>
                <w:szCs w:val="18"/>
              </w:rPr>
              <w:t>Общество полагает, что сложившаяся практика, на данный момент, достаточна для обеспечения объективного, справедливого и ясного представления о текущем состоянии и перспективах Общества, целостности и прозрачности отчетности Общества, разумности и приемлемости принимаемых Обществом рисков. В то же время Общество, в целях дальнейшего совершенствования корпоративного управления, намерено продолжить в 2024 г. взаимодействие с основными акционерами в части утверждения Антикоррупционной политики ПАО «ОГК-2</w:t>
            </w:r>
            <w:proofErr w:type="gramStart"/>
            <w:r>
              <w:rPr>
                <w:rFonts w:ascii="Arial" w:eastAsia="Calibri" w:hAnsi="Arial" w:cs="Arial"/>
                <w:sz w:val="18"/>
                <w:szCs w:val="18"/>
              </w:rPr>
              <w:t>»..</w:t>
            </w:r>
            <w:proofErr w:type="gramEnd"/>
          </w:p>
          <w:p w:rsidR="00C81778" w:rsidRDefault="00C81778">
            <w:pPr>
              <w:widowControl w:val="0"/>
              <w:spacing w:after="0" w:line="240" w:lineRule="auto"/>
              <w:contextualSpacing/>
              <w:rPr>
                <w:rFonts w:ascii="Arial" w:eastAsia="Times New Roman" w:hAnsi="Arial" w:cs="Arial"/>
                <w:sz w:val="18"/>
                <w:szCs w:val="18"/>
                <w:u w:val="single"/>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2: соблюдается.</w:t>
            </w:r>
          </w:p>
          <w:p w:rsidR="00C81778" w:rsidRDefault="00C81778">
            <w:pPr>
              <w:widowControl w:val="0"/>
              <w:spacing w:after="200" w:line="276" w:lineRule="auto"/>
              <w:contextualSpacing/>
              <w:jc w:val="both"/>
              <w:rPr>
                <w:rFonts w:ascii="Arial" w:eastAsia="Calibri" w:hAnsi="Arial" w:cs="Times New Roman"/>
                <w:sz w:val="18"/>
              </w:rPr>
            </w:pP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5.1.4</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w:t>
            </w:r>
            <w:r>
              <w:rPr>
                <w:rFonts w:ascii="Arial" w:eastAsia="Times New Roman" w:hAnsi="Arial" w:cs="Arial"/>
                <w:sz w:val="18"/>
                <w:szCs w:val="18"/>
              </w:rPr>
              <w:t>Общества</w:t>
            </w:r>
            <w:r>
              <w:rPr>
                <w:rFonts w:ascii="Arial" w:eastAsia="Calibri" w:hAnsi="Arial" w:cs="Times New Roman"/>
                <w:sz w:val="18"/>
              </w:rPr>
              <w:t xml:space="preserve"> предпринимает необходимые меры для того, чтобы убедиться, что действующая в </w:t>
            </w:r>
            <w:r>
              <w:rPr>
                <w:rFonts w:ascii="Arial" w:eastAsia="Times New Roman" w:hAnsi="Arial" w:cs="Arial"/>
                <w:sz w:val="18"/>
                <w:szCs w:val="18"/>
              </w:rPr>
              <w:t>Обществе</w:t>
            </w:r>
            <w:r>
              <w:rPr>
                <w:rFonts w:ascii="Arial" w:eastAsia="Calibri" w:hAnsi="Arial" w:cs="Times New Roman"/>
                <w:sz w:val="18"/>
              </w:rPr>
              <w:t xml:space="preserve"> система управления рисками и внутреннего контроля соответствует определенным </w:t>
            </w:r>
            <w:r>
              <w:rPr>
                <w:rFonts w:ascii="Arial" w:eastAsia="Times New Roman" w:hAnsi="Arial" w:cs="Arial"/>
                <w:sz w:val="18"/>
                <w:szCs w:val="18"/>
              </w:rPr>
              <w:t>Советом</w:t>
            </w:r>
            <w:r>
              <w:rPr>
                <w:rFonts w:ascii="Arial" w:eastAsia="Calibri" w:hAnsi="Arial" w:cs="Times New Roman"/>
                <w:sz w:val="18"/>
              </w:rPr>
              <w:t xml:space="preserve"> директоров принципам и подходам к ее организации и </w:t>
            </w:r>
            <w:r>
              <w:rPr>
                <w:rFonts w:ascii="Arial" w:eastAsia="Calibri" w:hAnsi="Arial" w:cs="Times New Roman"/>
                <w:sz w:val="18"/>
              </w:rPr>
              <w:lastRenderedPageBreak/>
              <w:t>эффективно функционирует</w:t>
            </w:r>
            <w:r>
              <w:rPr>
                <w:rFonts w:ascii="Arial" w:eastAsia="Times New Roman" w:hAnsi="Arial" w:cs="Arial"/>
                <w:sz w:val="18"/>
                <w:szCs w:val="18"/>
              </w:rPr>
              <w:t>.</w:t>
            </w:r>
          </w:p>
        </w:tc>
        <w:tc>
          <w:tcPr>
            <w:tcW w:w="3827" w:type="dxa"/>
          </w:tcPr>
          <w:p w:rsidR="00C81778" w:rsidRDefault="00AB0D4E" w:rsidP="00AB0D4E">
            <w:pPr>
              <w:widowControl w:val="0"/>
              <w:numPr>
                <w:ilvl w:val="0"/>
                <w:numId w:val="93"/>
              </w:numPr>
              <w:tabs>
                <w:tab w:val="left" w:pos="285"/>
              </w:tabs>
              <w:spacing w:after="0" w:line="240" w:lineRule="auto"/>
              <w:ind w:left="28" w:hanging="28"/>
              <w:jc w:val="both"/>
              <w:rPr>
                <w:rFonts w:ascii="Arial" w:eastAsia="Times New Roman" w:hAnsi="Arial" w:cs="Arial"/>
                <w:sz w:val="20"/>
                <w:szCs w:val="20"/>
                <w:lang w:eastAsia="ru-RU"/>
              </w:rPr>
            </w:pPr>
            <w:r>
              <w:rPr>
                <w:rFonts w:ascii="Arial" w:eastAsia="Times New Roman" w:hAnsi="Arial" w:cs="Arial"/>
                <w:sz w:val="18"/>
                <w:szCs w:val="20"/>
                <w:lang w:eastAsia="ru-RU"/>
              </w:rPr>
              <w:lastRenderedPageBreak/>
              <w:t>В течение отчетного периода</w:t>
            </w:r>
            <w:r>
              <w:rPr>
                <w:rFonts w:ascii="Arial" w:eastAsia="Times New Roman" w:hAnsi="Arial" w:cs="Arial"/>
                <w:sz w:val="18"/>
                <w:szCs w:val="18"/>
                <w:lang w:eastAsia="ru-RU"/>
              </w:rPr>
              <w:t>, Совет</w:t>
            </w:r>
            <w:r>
              <w:rPr>
                <w:rFonts w:ascii="Arial" w:eastAsia="Times New Roman" w:hAnsi="Arial" w:cs="Arial"/>
                <w:sz w:val="18"/>
                <w:szCs w:val="20"/>
                <w:lang w:eastAsia="ru-RU"/>
              </w:rPr>
              <w:t xml:space="preserve"> директоров </w:t>
            </w:r>
            <w:r>
              <w:rPr>
                <w:rFonts w:ascii="Arial" w:eastAsia="Times New Roman" w:hAnsi="Arial" w:cs="Arial"/>
                <w:sz w:val="18"/>
                <w:szCs w:val="18"/>
                <w:lang w:eastAsia="ru-RU"/>
              </w:rPr>
              <w:t xml:space="preserve">или </w:t>
            </w:r>
            <w:r>
              <w:rPr>
                <w:rFonts w:ascii="Arial" w:eastAsia="Times New Roman" w:hAnsi="Arial" w:cs="Arial"/>
                <w:sz w:val="18"/>
                <w:szCs w:val="20"/>
                <w:lang w:eastAsia="ru-RU"/>
              </w:rPr>
              <w:t>комитет по аудиту и (или) комитет по рискам (при наличии) организовал проведение оценки надежности и эффективности системы управления рисками и внутреннего контроля</w:t>
            </w:r>
            <w:r>
              <w:rPr>
                <w:rFonts w:ascii="Arial" w:eastAsia="Times New Roman" w:hAnsi="Arial" w:cs="Arial"/>
                <w:sz w:val="20"/>
                <w:szCs w:val="20"/>
                <w:lang w:eastAsia="ru-RU"/>
              </w:rPr>
              <w:t>.</w:t>
            </w:r>
          </w:p>
          <w:p w:rsidR="00C81778" w:rsidRDefault="00AB0D4E" w:rsidP="00AB0D4E">
            <w:pPr>
              <w:widowControl w:val="0"/>
              <w:numPr>
                <w:ilvl w:val="0"/>
                <w:numId w:val="94"/>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В отчетном периоде Совет директоров </w:t>
            </w:r>
            <w:r>
              <w:rPr>
                <w:rFonts w:ascii="Arial" w:eastAsia="Calibri" w:hAnsi="Arial" w:cs="Times New Roman"/>
                <w:sz w:val="18"/>
              </w:rPr>
              <w:lastRenderedPageBreak/>
              <w:t>рассмотрел результаты оценки надежности и эффективности системы управления рисками и внутреннего контроля Общества и сведения о результатах рассмотрения включены в состав Годового отчета Общества.</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lastRenderedPageBreak/>
              <w:t>Соблюдается.</w:t>
            </w:r>
          </w:p>
          <w:p w:rsidR="00C81778" w:rsidRDefault="00C81778">
            <w:pPr>
              <w:widowControl w:val="0"/>
              <w:spacing w:after="200" w:line="276" w:lineRule="auto"/>
              <w:contextualSpacing/>
              <w:rPr>
                <w:rFonts w:ascii="Arial" w:eastAsia="Calibri" w:hAnsi="Arial" w:cs="Times New Roman"/>
                <w:sz w:val="18"/>
              </w:rPr>
            </w:pPr>
          </w:p>
        </w:tc>
        <w:tc>
          <w:tcPr>
            <w:tcW w:w="3966" w:type="dxa"/>
          </w:tcPr>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C81778">
            <w:pPr>
              <w:widowControl w:val="0"/>
              <w:spacing w:after="0" w:line="240" w:lineRule="auto"/>
              <w:contextualSpacing/>
              <w:rPr>
                <w:rFonts w:ascii="Arial" w:eastAsia="Calibri" w:hAnsi="Arial" w:cs="Arial"/>
                <w:sz w:val="18"/>
                <w:szCs w:val="18"/>
                <w:u w:val="single"/>
              </w:rPr>
            </w:pPr>
          </w:p>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 xml:space="preserve">Критерий </w:t>
            </w:r>
            <w:proofErr w:type="gramStart"/>
            <w:r>
              <w:rPr>
                <w:rFonts w:ascii="Arial" w:eastAsia="Calibri" w:hAnsi="Arial" w:cs="Arial"/>
                <w:sz w:val="18"/>
                <w:szCs w:val="18"/>
                <w:u w:val="single"/>
              </w:rPr>
              <w:t>2:  соблюдается</w:t>
            </w:r>
            <w:proofErr w:type="gramEnd"/>
            <w:r>
              <w:rPr>
                <w:rFonts w:ascii="Arial" w:eastAsia="Calibri" w:hAnsi="Arial" w:cs="Arial"/>
                <w:sz w:val="18"/>
                <w:szCs w:val="18"/>
                <w:u w:val="single"/>
              </w:rPr>
              <w:t>.</w:t>
            </w:r>
          </w:p>
          <w:p w:rsidR="00C81778" w:rsidRDefault="00C81778">
            <w:pPr>
              <w:widowControl w:val="0"/>
              <w:spacing w:after="0" w:line="240" w:lineRule="auto"/>
              <w:contextualSpacing/>
              <w:rPr>
                <w:rFonts w:ascii="Arial" w:eastAsia="Calibri" w:hAnsi="Arial" w:cs="Times New Roman"/>
                <w:sz w:val="18"/>
              </w:rPr>
            </w:pP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.2</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w:t>
            </w:r>
            <w:r>
              <w:rPr>
                <w:rFonts w:ascii="Arial" w:eastAsia="Calibri" w:hAnsi="Arial" w:cs="Arial"/>
                <w:b/>
                <w:sz w:val="18"/>
                <w:szCs w:val="18"/>
              </w:rPr>
              <w:t>Общество</w:t>
            </w:r>
            <w:r>
              <w:rPr>
                <w:rFonts w:ascii="Arial" w:eastAsia="Calibri" w:hAnsi="Arial" w:cs="Times New Roman"/>
                <w:b/>
                <w:sz w:val="18"/>
              </w:rPr>
              <w:t xml:space="preserve"> организовывает проведение внутреннего аудита</w:t>
            </w:r>
            <w:r>
              <w:rPr>
                <w:rFonts w:ascii="Arial" w:eastAsia="Calibri" w:hAnsi="Arial" w:cs="Arial"/>
                <w:b/>
                <w:sz w:val="18"/>
                <w:szCs w:val="18"/>
              </w:rPr>
              <w:t>.</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5.2.1</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Для проведения внутреннего аудита в </w:t>
            </w:r>
            <w:r>
              <w:rPr>
                <w:rFonts w:ascii="Arial" w:eastAsia="Calibri" w:hAnsi="Arial" w:cs="Arial"/>
                <w:sz w:val="18"/>
                <w:szCs w:val="18"/>
              </w:rPr>
              <w:t>Обществе</w:t>
            </w:r>
            <w:r>
              <w:rPr>
                <w:rFonts w:ascii="Arial" w:eastAsia="Calibri" w:hAnsi="Arial" w:cs="Times New Roman"/>
                <w:sz w:val="18"/>
              </w:rPr>
              <w:t xml:space="preserve"> создано отдельное структурное подразделение или привлечена независимая внешняя организация. Функциональная и административная подотчетность подразделения внутреннего аудита разграничены. Функционально подразделение внутреннего аудита подчиняется </w:t>
            </w:r>
            <w:r>
              <w:rPr>
                <w:rFonts w:ascii="Arial" w:eastAsia="Calibri" w:hAnsi="Arial" w:cs="Arial"/>
                <w:sz w:val="18"/>
                <w:szCs w:val="18"/>
              </w:rPr>
              <w:t>Совету</w:t>
            </w:r>
            <w:r>
              <w:rPr>
                <w:rFonts w:ascii="Arial" w:eastAsia="Calibri" w:hAnsi="Arial" w:cs="Times New Roman"/>
                <w:sz w:val="18"/>
              </w:rPr>
              <w:t xml:space="preserve"> директоров</w:t>
            </w:r>
            <w:r>
              <w:rPr>
                <w:rFonts w:ascii="Arial" w:eastAsia="Calibri" w:hAnsi="Arial" w:cs="Arial"/>
                <w:sz w:val="18"/>
                <w:szCs w:val="18"/>
              </w:rPr>
              <w:t>.</w:t>
            </w:r>
          </w:p>
        </w:tc>
        <w:tc>
          <w:tcPr>
            <w:tcW w:w="3827" w:type="dxa"/>
          </w:tcPr>
          <w:p w:rsidR="00C81778" w:rsidRDefault="00AB0D4E" w:rsidP="00AB0D4E">
            <w:pPr>
              <w:widowControl w:val="0"/>
              <w:numPr>
                <w:ilvl w:val="0"/>
                <w:numId w:val="95"/>
              </w:numPr>
              <w:tabs>
                <w:tab w:val="left" w:pos="33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t xml:space="preserve">Для проведения внутреннего аудита в </w:t>
            </w:r>
            <w:r>
              <w:rPr>
                <w:rFonts w:ascii="Arial" w:eastAsia="Calibri" w:hAnsi="Arial" w:cs="Arial"/>
                <w:sz w:val="18"/>
                <w:szCs w:val="18"/>
              </w:rPr>
              <w:t>Обществе</w:t>
            </w:r>
            <w:r>
              <w:rPr>
                <w:rFonts w:ascii="Arial" w:eastAsia="Calibri" w:hAnsi="Arial" w:cs="Times New Roman"/>
                <w:sz w:val="18"/>
              </w:rPr>
              <w:t xml:space="preserve"> создано отдельное структурное подразделение внутреннего аудита, функционально подотчетное </w:t>
            </w:r>
            <w:r>
              <w:rPr>
                <w:rFonts w:ascii="Arial" w:eastAsia="Calibri" w:hAnsi="Arial" w:cs="Arial"/>
                <w:sz w:val="18"/>
                <w:szCs w:val="18"/>
              </w:rPr>
              <w:t>Совету</w:t>
            </w:r>
            <w:r>
              <w:rPr>
                <w:rFonts w:ascii="Arial" w:eastAsia="Calibri" w:hAnsi="Arial" w:cs="Times New Roman"/>
                <w:sz w:val="18"/>
              </w:rPr>
              <w:t xml:space="preserve"> директоров, или привлечена независимая внешняя организация с тем же принципом подотчетности</w:t>
            </w:r>
            <w:r>
              <w:rPr>
                <w:rFonts w:ascii="Arial" w:eastAsia="Calibri" w:hAnsi="Arial" w:cs="Arial"/>
                <w:sz w:val="18"/>
                <w:szCs w:val="18"/>
              </w:rPr>
              <w:t>.</w:t>
            </w:r>
          </w:p>
        </w:tc>
        <w:tc>
          <w:tcPr>
            <w:tcW w:w="2692" w:type="dxa"/>
          </w:tcPr>
          <w:p w:rsidR="00C81778" w:rsidRDefault="00AB0D4E">
            <w:pPr>
              <w:widowControl w:val="0"/>
              <w:spacing w:after="200" w:line="276" w:lineRule="auto"/>
              <w:rPr>
                <w:rFonts w:ascii="Arial" w:eastAsia="Calibri" w:hAnsi="Arial" w:cs="Times New Roman"/>
                <w:sz w:val="18"/>
              </w:rPr>
            </w:pPr>
            <w:r>
              <w:rPr>
                <w:rFonts w:ascii="Arial" w:eastAsia="Calibri" w:hAnsi="Arial" w:cs="Arial"/>
                <w:sz w:val="18"/>
                <w:szCs w:val="18"/>
              </w:rPr>
              <w:t>Соблюдается.</w:t>
            </w:r>
          </w:p>
        </w:tc>
        <w:tc>
          <w:tcPr>
            <w:tcW w:w="3966" w:type="dxa"/>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5.2.2</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Подразделение внутреннего аудита проводит оценку надежности и эффективности системы управления рисками и внутреннего контроля, а также оценку корпоративного управления</w:t>
            </w:r>
            <w:r>
              <w:rPr>
                <w:rFonts w:ascii="Arial" w:eastAsia="Times New Roman" w:hAnsi="Arial" w:cs="Arial"/>
                <w:sz w:val="18"/>
                <w:szCs w:val="18"/>
              </w:rPr>
              <w:t>. Общество</w:t>
            </w:r>
            <w:r>
              <w:rPr>
                <w:rFonts w:ascii="Arial" w:eastAsia="Calibri" w:hAnsi="Arial" w:cs="Times New Roman"/>
                <w:sz w:val="18"/>
              </w:rPr>
              <w:t xml:space="preserve"> применяет общепринятые стандарты деятельности в области внутреннего аудита</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96"/>
              </w:numPr>
              <w:tabs>
                <w:tab w:val="left" w:pos="31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В отчетном периоде в рамках проведения внутреннего аудита дана оценка надежности и эффективности системы управления рисками и внутреннего контроля.</w:t>
            </w:r>
          </w:p>
          <w:p w:rsidR="00C81778" w:rsidRDefault="00AB0D4E" w:rsidP="00AB0D4E">
            <w:pPr>
              <w:widowControl w:val="0"/>
              <w:numPr>
                <w:ilvl w:val="0"/>
                <w:numId w:val="97"/>
              </w:numPr>
              <w:tabs>
                <w:tab w:val="left" w:pos="31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В отчетном периоде в рамках проведения внутреннего аудита дана оценка практики (отдельных практик) корпоративного управления, включая процедуры информационного взаимодействия (в том числе по вопросам внутреннего контроля и управления рисками) на всех уровнях управления Общества, а также взаимодействия с заинтересованными лицами.</w:t>
            </w:r>
          </w:p>
        </w:tc>
        <w:tc>
          <w:tcPr>
            <w:tcW w:w="2692"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Times New Roman"/>
                <w:sz w:val="18"/>
              </w:rPr>
              <w:t>Соблюдается</w:t>
            </w:r>
            <w:r>
              <w:rPr>
                <w:rFonts w:ascii="Arial" w:eastAsia="Times New Roman" w:hAnsi="Arial" w:cs="Arial"/>
                <w:sz w:val="18"/>
                <w:szCs w:val="18"/>
              </w:rPr>
              <w:t>.</w:t>
            </w:r>
          </w:p>
          <w:p w:rsidR="00C81778" w:rsidRDefault="00C81778">
            <w:pPr>
              <w:widowControl w:val="0"/>
              <w:spacing w:after="0" w:line="240" w:lineRule="auto"/>
              <w:ind w:left="357"/>
              <w:contextualSpacing/>
              <w:rPr>
                <w:rFonts w:ascii="Arial" w:eastAsia="Calibri" w:hAnsi="Arial" w:cs="Times New Roman"/>
                <w:sz w:val="18"/>
              </w:rPr>
            </w:pPr>
          </w:p>
        </w:tc>
        <w:tc>
          <w:tcPr>
            <w:tcW w:w="3966" w:type="dxa"/>
            <w:shd w:val="clear" w:color="auto" w:fill="DBE5F1"/>
          </w:tcPr>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Критерий 2: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6.1</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Общество и его деятельность являются прозрачными для акционеров, инвесторов и иных заинтересованных лиц</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6.1.1</w:t>
            </w:r>
            <w:r>
              <w:rPr>
                <w:rFonts w:ascii="Arial" w:eastAsia="Times New Roman"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В </w:t>
            </w:r>
            <w:r>
              <w:rPr>
                <w:rFonts w:ascii="Arial" w:eastAsia="Times New Roman" w:hAnsi="Arial" w:cs="Arial"/>
                <w:sz w:val="18"/>
                <w:szCs w:val="18"/>
              </w:rPr>
              <w:t>Обществе</w:t>
            </w:r>
            <w:r>
              <w:rPr>
                <w:rFonts w:ascii="Arial" w:eastAsia="Calibri" w:hAnsi="Arial" w:cs="Times New Roman"/>
                <w:sz w:val="18"/>
              </w:rPr>
              <w:t xml:space="preserve"> разработана и внедрена информационная политика, обеспечивающая эффективное информационное взаимодействие </w:t>
            </w:r>
            <w:r>
              <w:rPr>
                <w:rFonts w:ascii="Arial" w:eastAsia="Times New Roman" w:hAnsi="Arial" w:cs="Arial"/>
                <w:sz w:val="18"/>
                <w:szCs w:val="18"/>
              </w:rPr>
              <w:t>Общества</w:t>
            </w:r>
            <w:r>
              <w:rPr>
                <w:rFonts w:ascii="Arial" w:eastAsia="Calibri" w:hAnsi="Arial" w:cs="Times New Roman"/>
                <w:sz w:val="18"/>
              </w:rPr>
              <w:t>, акционеров, инвесторов и иных заинтересованных лиц</w:t>
            </w:r>
            <w:r>
              <w:rPr>
                <w:rFonts w:ascii="Arial" w:eastAsia="Times New Roman" w:hAnsi="Arial" w:cs="Arial"/>
                <w:sz w:val="18"/>
                <w:szCs w:val="18"/>
              </w:rPr>
              <w:t>.</w:t>
            </w:r>
          </w:p>
        </w:tc>
        <w:tc>
          <w:tcPr>
            <w:tcW w:w="3827" w:type="dxa"/>
            <w:shd w:val="clear" w:color="auto" w:fill="DBE5F1"/>
          </w:tcPr>
          <w:p w:rsidR="00C81778" w:rsidRDefault="00AB0D4E" w:rsidP="00AB0D4E">
            <w:pPr>
              <w:widowControl w:val="0"/>
              <w:numPr>
                <w:ilvl w:val="0"/>
                <w:numId w:val="98"/>
              </w:numPr>
              <w:tabs>
                <w:tab w:val="left" w:pos="315"/>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Советом директоров </w:t>
            </w:r>
            <w:r>
              <w:rPr>
                <w:rFonts w:ascii="Arial" w:eastAsia="Times New Roman" w:hAnsi="Arial" w:cs="Arial"/>
                <w:sz w:val="18"/>
                <w:szCs w:val="18"/>
              </w:rPr>
              <w:t>Общества</w:t>
            </w:r>
            <w:r>
              <w:rPr>
                <w:rFonts w:ascii="Arial" w:eastAsia="Calibri" w:hAnsi="Arial" w:cs="Times New Roman"/>
                <w:sz w:val="18"/>
              </w:rPr>
              <w:t xml:space="preserve"> утверждена информационная политика </w:t>
            </w:r>
            <w:r>
              <w:rPr>
                <w:rFonts w:ascii="Arial" w:eastAsia="Times New Roman" w:hAnsi="Arial" w:cs="Arial"/>
                <w:sz w:val="18"/>
                <w:szCs w:val="18"/>
              </w:rPr>
              <w:t>Общества</w:t>
            </w:r>
            <w:r>
              <w:rPr>
                <w:rFonts w:ascii="Arial" w:eastAsia="Calibri" w:hAnsi="Arial" w:cs="Times New Roman"/>
                <w:sz w:val="18"/>
              </w:rPr>
              <w:t xml:space="preserve">, разработанная с учетом рекомендаций </w:t>
            </w:r>
            <w:r>
              <w:rPr>
                <w:rFonts w:ascii="Arial" w:eastAsia="Times New Roman" w:hAnsi="Arial" w:cs="Arial"/>
                <w:sz w:val="18"/>
                <w:szCs w:val="18"/>
              </w:rPr>
              <w:t>Кодекса.</w:t>
            </w:r>
          </w:p>
          <w:p w:rsidR="00C81778" w:rsidRDefault="00AB0D4E" w:rsidP="00AB0D4E">
            <w:pPr>
              <w:widowControl w:val="0"/>
              <w:numPr>
                <w:ilvl w:val="0"/>
                <w:numId w:val="99"/>
              </w:numPr>
              <w:tabs>
                <w:tab w:val="left" w:pos="315"/>
              </w:tabs>
              <w:spacing w:after="0" w:line="240" w:lineRule="auto"/>
              <w:ind w:left="28" w:hanging="28"/>
              <w:contextualSpacing/>
              <w:jc w:val="both"/>
              <w:rPr>
                <w:rFonts w:ascii="Arial" w:eastAsia="Calibri" w:hAnsi="Arial" w:cs="Times New Roman"/>
                <w:sz w:val="18"/>
              </w:rPr>
            </w:pPr>
            <w:r>
              <w:rPr>
                <w:rFonts w:ascii="Arial" w:eastAsia="Times New Roman" w:hAnsi="Arial" w:cs="Arial"/>
                <w:sz w:val="18"/>
                <w:szCs w:val="18"/>
              </w:rPr>
              <w:t>В течение отчетного периода Совет</w:t>
            </w:r>
            <w:r>
              <w:rPr>
                <w:rFonts w:ascii="Arial" w:eastAsia="Calibri" w:hAnsi="Arial" w:cs="Times New Roman"/>
                <w:sz w:val="18"/>
              </w:rPr>
              <w:t xml:space="preserve"> директоров (или один из его комитетов) рассмотрел вопрос об эффективности информационного взаимодействия Общества, акционеров, инвесторов и </w:t>
            </w:r>
            <w:proofErr w:type="gramStart"/>
            <w:r>
              <w:rPr>
                <w:rFonts w:ascii="Arial" w:eastAsia="Calibri" w:hAnsi="Arial" w:cs="Times New Roman"/>
                <w:sz w:val="18"/>
              </w:rPr>
              <w:t>иных заинтересованных лиц</w:t>
            </w:r>
            <w:proofErr w:type="gramEnd"/>
            <w:r>
              <w:rPr>
                <w:rFonts w:ascii="Arial" w:eastAsia="Calibri" w:hAnsi="Arial" w:cs="Times New Roman"/>
                <w:sz w:val="18"/>
              </w:rPr>
              <w:t xml:space="preserve"> и </w:t>
            </w:r>
            <w:r>
              <w:rPr>
                <w:rFonts w:ascii="Arial" w:eastAsia="Calibri" w:hAnsi="Arial" w:cs="Times New Roman"/>
                <w:sz w:val="18"/>
              </w:rPr>
              <w:lastRenderedPageBreak/>
              <w:t>целесообразности (необходимости) пересмотра информационной политики Общества</w:t>
            </w:r>
            <w:r>
              <w:rPr>
                <w:rFonts w:eastAsia="Calibri" w:cs="Times New Roman"/>
              </w:rPr>
              <w:t>.</w:t>
            </w:r>
          </w:p>
        </w:tc>
        <w:tc>
          <w:tcPr>
            <w:tcW w:w="2692"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Times New Roman" w:hAnsi="Arial" w:cs="Arial"/>
                <w:sz w:val="18"/>
                <w:szCs w:val="18"/>
              </w:rPr>
              <w:lastRenderedPageBreak/>
              <w:t>Частично</w:t>
            </w:r>
            <w:r>
              <w:rPr>
                <w:rFonts w:ascii="Arial" w:eastAsia="Calibri" w:hAnsi="Arial" w:cs="Times New Roman"/>
                <w:sz w:val="18"/>
              </w:rPr>
              <w:t xml:space="preserve"> соблюдается</w:t>
            </w:r>
            <w:r>
              <w:rPr>
                <w:rFonts w:ascii="Arial" w:eastAsia="Times New Roman" w:hAnsi="Arial" w:cs="Arial"/>
                <w:sz w:val="18"/>
                <w:szCs w:val="18"/>
              </w:rPr>
              <w:t>.</w:t>
            </w:r>
          </w:p>
          <w:p w:rsidR="00C81778" w:rsidRDefault="00C81778">
            <w:pPr>
              <w:widowControl w:val="0"/>
              <w:spacing w:after="0" w:line="240" w:lineRule="auto"/>
              <w:contextualSpacing/>
              <w:rPr>
                <w:rFonts w:ascii="Arial" w:eastAsia="Calibri" w:hAnsi="Arial" w:cs="Times New Roman"/>
                <w:sz w:val="18"/>
              </w:rPr>
            </w:pPr>
          </w:p>
        </w:tc>
        <w:tc>
          <w:tcPr>
            <w:tcW w:w="3966" w:type="dxa"/>
            <w:shd w:val="clear" w:color="auto" w:fill="DBE5F1"/>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частично соблюдается.</w:t>
            </w:r>
          </w:p>
          <w:p w:rsidR="00C81778" w:rsidRDefault="00AB0D4E">
            <w:pPr>
              <w:widowControl w:val="0"/>
              <w:tabs>
                <w:tab w:val="left" w:pos="34"/>
                <w:tab w:val="left" w:pos="176"/>
              </w:tabs>
              <w:spacing w:after="200" w:line="276" w:lineRule="auto"/>
              <w:jc w:val="both"/>
              <w:rPr>
                <w:rFonts w:ascii="Arial" w:eastAsia="Times New Roman" w:hAnsi="Arial" w:cs="Arial"/>
                <w:sz w:val="18"/>
                <w:szCs w:val="18"/>
              </w:rPr>
            </w:pPr>
            <w:r>
              <w:rPr>
                <w:rFonts w:ascii="Arial" w:eastAsia="Times New Roman" w:hAnsi="Arial" w:cs="Arial"/>
                <w:sz w:val="18"/>
                <w:szCs w:val="18"/>
              </w:rPr>
              <w:t xml:space="preserve">Положение об информационной политике Общества в новой редакции было утверждено 08.09.2022 Советом директоров ПАО «ОГК-2» (протокол №284). В новой редакции данного положения существенное большинство норм соответствует рекомендациям Кодекса. При этом контроль за соблюдением Положения об </w:t>
            </w:r>
            <w:r>
              <w:rPr>
                <w:rFonts w:ascii="Arial" w:eastAsia="Times New Roman" w:hAnsi="Arial" w:cs="Arial"/>
                <w:sz w:val="18"/>
                <w:szCs w:val="18"/>
              </w:rPr>
              <w:lastRenderedPageBreak/>
              <w:t>информационной политике Общества возложен не на Совет директоров ПАО «ОГК-2», а на Комитет по аудиту Совета директоров (п.2.3.5. ст. 2 Положения о Комитете Совета директоров по аудиту ПАО «ОГК-2»). Ответственность за раскрытие информации об Обществе несет Генеральный директор Общества.</w:t>
            </w:r>
          </w:p>
          <w:p w:rsidR="00C81778" w:rsidRDefault="00AB0D4E">
            <w:pPr>
              <w:widowControl w:val="0"/>
              <w:tabs>
                <w:tab w:val="left" w:pos="34"/>
                <w:tab w:val="left" w:pos="176"/>
              </w:tabs>
              <w:spacing w:after="200" w:line="276" w:lineRule="auto"/>
              <w:jc w:val="both"/>
              <w:rPr>
                <w:rFonts w:ascii="Arial" w:eastAsia="Times New Roman" w:hAnsi="Arial" w:cs="Arial"/>
                <w:sz w:val="18"/>
                <w:szCs w:val="18"/>
              </w:rPr>
            </w:pPr>
            <w:r>
              <w:rPr>
                <w:rFonts w:ascii="Arial" w:eastAsia="Times New Roman" w:hAnsi="Arial" w:cs="Arial"/>
                <w:sz w:val="18"/>
                <w:szCs w:val="18"/>
              </w:rPr>
              <w:t>Поскольку ПАО «ОГК-2» входит в Группу Газпром, управление в которой осуществляется по единым корпоративным стандартам, которым соответствует и действующее Положение об информационной политике, в ближайшее время корректировка данного документа не планируется. В то же время Общество, в целях дальнейшего совершенствования корпоративного управления, намерено продолжить в 2024 г. взаимодействие с основными акционерами в части приведения Положения об информационной политике в соответствие с данным принципом.</w:t>
            </w: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2: не соблюдается.</w:t>
            </w:r>
          </w:p>
          <w:p w:rsidR="00C81778" w:rsidRDefault="00AB0D4E">
            <w:pPr>
              <w:widowControl w:val="0"/>
              <w:tabs>
                <w:tab w:val="left" w:pos="34"/>
                <w:tab w:val="left" w:pos="176"/>
              </w:tabs>
              <w:spacing w:after="200" w:line="276" w:lineRule="auto"/>
              <w:jc w:val="both"/>
              <w:rPr>
                <w:rFonts w:ascii="Arial" w:eastAsia="Times New Roman" w:hAnsi="Arial" w:cs="Arial"/>
                <w:sz w:val="18"/>
                <w:szCs w:val="18"/>
              </w:rPr>
            </w:pPr>
            <w:r>
              <w:rPr>
                <w:rFonts w:ascii="Arial" w:eastAsia="Times New Roman" w:hAnsi="Arial" w:cs="Arial"/>
                <w:sz w:val="18"/>
                <w:szCs w:val="18"/>
              </w:rPr>
              <w:t xml:space="preserve">В течение отчетного периода Совет директоров (или один из его комитетов) не рассматривал вопрос об эффективности информационного взаимодействия Общества, акционеров, инвесторов и </w:t>
            </w:r>
            <w:proofErr w:type="gramStart"/>
            <w:r>
              <w:rPr>
                <w:rFonts w:ascii="Arial" w:eastAsia="Times New Roman" w:hAnsi="Arial" w:cs="Arial"/>
                <w:sz w:val="18"/>
                <w:szCs w:val="18"/>
              </w:rPr>
              <w:t>иных заинтересованных лиц</w:t>
            </w:r>
            <w:proofErr w:type="gramEnd"/>
            <w:r>
              <w:rPr>
                <w:rFonts w:ascii="Arial" w:eastAsia="Times New Roman" w:hAnsi="Arial" w:cs="Arial"/>
                <w:sz w:val="18"/>
                <w:szCs w:val="18"/>
              </w:rPr>
              <w:t xml:space="preserve"> и целесообразности (необходимости) пересмотра информационной политики Общества поскольку Совет директоров Общества пересмотрел информационную политику Общества в 2022 г.</w:t>
            </w:r>
          </w:p>
          <w:p w:rsidR="00C81778" w:rsidRDefault="00AB0D4E">
            <w:pPr>
              <w:widowControl w:val="0"/>
              <w:tabs>
                <w:tab w:val="left" w:pos="34"/>
                <w:tab w:val="left" w:pos="176"/>
              </w:tabs>
              <w:spacing w:after="200" w:line="276" w:lineRule="auto"/>
              <w:jc w:val="both"/>
              <w:rPr>
                <w:rFonts w:ascii="Arial" w:hAnsi="Arial" w:cs="Arial"/>
                <w:sz w:val="18"/>
                <w:szCs w:val="18"/>
              </w:rPr>
            </w:pPr>
            <w:r>
              <w:rPr>
                <w:rFonts w:ascii="Arial" w:eastAsia="Calibri" w:hAnsi="Arial" w:cs="Arial"/>
                <w:sz w:val="18"/>
                <w:szCs w:val="18"/>
              </w:rPr>
              <w:t xml:space="preserve">В то же время, в соответствии с действующим Положением об информационной политике ПАО «ОГК-2», </w:t>
            </w:r>
            <w:r>
              <w:rPr>
                <w:rFonts w:ascii="Arial" w:eastAsia="Calibri" w:hAnsi="Arial" w:cs="Arial"/>
                <w:sz w:val="18"/>
                <w:szCs w:val="18"/>
              </w:rPr>
              <w:lastRenderedPageBreak/>
              <w:t>ответственность за раскрытие информации об Обществе несет Генеральный директор Общества, а к компетенции Совета директоров, в соответствии с Уставом Общества, относится рассмотрение отчетов Генерального директора Общества о деятельности Общества (в том числе о выполнении им своих должностных обязанностей), в состав которого также входит и Отчет корпоративного секретаря о соблюдении информационной политики в части раскрытия информации. Таким образом, Совет директоров осуществляет косвенный контроль за соблюдением информационной политики Общества.</w:t>
            </w:r>
          </w:p>
          <w:p w:rsidR="00C81778" w:rsidRDefault="00AB0D4E">
            <w:pPr>
              <w:widowControl w:val="0"/>
              <w:tabs>
                <w:tab w:val="left" w:pos="34"/>
                <w:tab w:val="left" w:pos="176"/>
              </w:tabs>
              <w:spacing w:after="200" w:line="276" w:lineRule="auto"/>
              <w:jc w:val="both"/>
              <w:rPr>
                <w:rFonts w:ascii="Arial" w:eastAsia="Times New Roman" w:hAnsi="Arial" w:cs="Arial"/>
                <w:sz w:val="18"/>
                <w:szCs w:val="18"/>
              </w:rPr>
            </w:pPr>
            <w:r>
              <w:rPr>
                <w:rFonts w:ascii="Arial" w:eastAsia="Times New Roman" w:hAnsi="Arial" w:cs="Arial"/>
                <w:sz w:val="18"/>
                <w:szCs w:val="18"/>
              </w:rPr>
              <w:t>Поскольку ПАО «ОГК-2» входит в Группу Газпром, управление в которой осуществляется по единым корпоративным стандартам, которым соответствует и действующее Положение об информационной политике, в ближайшее время корректировка данного документа не планируется. В то же время Общество, в целях дальнейшего совершенствования корпоративного управления, намерено продолжить в 2024 г. взаимодействие с основными акционерами в части приведения Положения об информационной политике в соответствие с данным критерием.</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6.1.2</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Общество раскрывает информацию о системе и практике корпоративного управления, включая подробную информацию о соблюдении принципов и рекомендаций </w:t>
            </w:r>
            <w:r>
              <w:rPr>
                <w:rFonts w:ascii="Arial" w:eastAsia="Times New Roman" w:hAnsi="Arial" w:cs="Arial"/>
                <w:sz w:val="18"/>
                <w:szCs w:val="18"/>
              </w:rPr>
              <w:t>Кодекса.</w:t>
            </w:r>
          </w:p>
        </w:tc>
        <w:tc>
          <w:tcPr>
            <w:tcW w:w="3827" w:type="dxa"/>
          </w:tcPr>
          <w:p w:rsidR="00C81778" w:rsidRDefault="00AB0D4E" w:rsidP="00AB0D4E">
            <w:pPr>
              <w:widowControl w:val="0"/>
              <w:numPr>
                <w:ilvl w:val="0"/>
                <w:numId w:val="100"/>
              </w:numPr>
              <w:tabs>
                <w:tab w:val="left" w:pos="24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Общество раскрывает информацию о системе корпоративного управления в</w:t>
            </w:r>
            <w:r>
              <w:rPr>
                <w:rFonts w:eastAsia="Calibri" w:cs="Times New Roman"/>
                <w:sz w:val="18"/>
              </w:rPr>
              <w:t xml:space="preserve"> </w:t>
            </w:r>
            <w:r>
              <w:rPr>
                <w:rFonts w:ascii="Arial" w:eastAsia="Times New Roman" w:hAnsi="Arial" w:cs="Arial"/>
                <w:sz w:val="18"/>
                <w:szCs w:val="18"/>
              </w:rPr>
              <w:t xml:space="preserve">Обществе </w:t>
            </w:r>
            <w:r>
              <w:rPr>
                <w:rFonts w:ascii="Arial" w:eastAsia="Calibri" w:hAnsi="Arial" w:cs="Times New Roman"/>
                <w:sz w:val="18"/>
              </w:rPr>
              <w:t xml:space="preserve">и общих принципах корпоративного управления, применяемых в </w:t>
            </w:r>
            <w:r>
              <w:rPr>
                <w:rFonts w:ascii="Arial" w:eastAsia="Times New Roman" w:hAnsi="Arial" w:cs="Arial"/>
                <w:sz w:val="18"/>
                <w:szCs w:val="18"/>
              </w:rPr>
              <w:t>Обществе</w:t>
            </w:r>
            <w:r>
              <w:rPr>
                <w:rFonts w:ascii="Arial" w:eastAsia="Calibri" w:hAnsi="Arial" w:cs="Times New Roman"/>
                <w:sz w:val="18"/>
              </w:rPr>
              <w:t xml:space="preserve">, в том числе на сайте </w:t>
            </w:r>
            <w:r>
              <w:rPr>
                <w:rFonts w:ascii="Arial" w:eastAsia="Times New Roman" w:hAnsi="Arial" w:cs="Arial"/>
                <w:sz w:val="18"/>
                <w:szCs w:val="18"/>
              </w:rPr>
              <w:t>Общества</w:t>
            </w:r>
            <w:r>
              <w:rPr>
                <w:rFonts w:ascii="Arial" w:eastAsia="Calibri" w:hAnsi="Arial" w:cs="Times New Roman"/>
                <w:sz w:val="18"/>
              </w:rPr>
              <w:t xml:space="preserve"> в сети Интернет.</w:t>
            </w:r>
          </w:p>
          <w:p w:rsidR="00C81778" w:rsidRDefault="00AB0D4E" w:rsidP="00AB0D4E">
            <w:pPr>
              <w:widowControl w:val="0"/>
              <w:numPr>
                <w:ilvl w:val="0"/>
                <w:numId w:val="101"/>
              </w:numPr>
              <w:tabs>
                <w:tab w:val="left" w:pos="24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Общество раскрывает информацию о составе исполнительных органов и </w:t>
            </w:r>
            <w:r>
              <w:rPr>
                <w:rFonts w:ascii="Arial" w:eastAsia="Times New Roman" w:hAnsi="Arial" w:cs="Arial"/>
                <w:sz w:val="18"/>
                <w:szCs w:val="18"/>
              </w:rPr>
              <w:t>Совете</w:t>
            </w:r>
            <w:r>
              <w:rPr>
                <w:rFonts w:ascii="Arial" w:eastAsia="Calibri" w:hAnsi="Arial" w:cs="Times New Roman"/>
                <w:sz w:val="18"/>
              </w:rPr>
              <w:t xml:space="preserve"> директоров, независимости членов </w:t>
            </w:r>
            <w:r>
              <w:rPr>
                <w:rFonts w:ascii="Arial" w:eastAsia="Times New Roman" w:hAnsi="Arial" w:cs="Arial"/>
                <w:sz w:val="18"/>
                <w:szCs w:val="18"/>
              </w:rPr>
              <w:t>Совета</w:t>
            </w:r>
            <w:r>
              <w:rPr>
                <w:rFonts w:ascii="Arial" w:eastAsia="Calibri" w:hAnsi="Arial" w:cs="Times New Roman"/>
                <w:sz w:val="18"/>
              </w:rPr>
              <w:t xml:space="preserve"> и их членстве в комитетах </w:t>
            </w:r>
            <w:r>
              <w:rPr>
                <w:rFonts w:ascii="Arial" w:eastAsia="Times New Roman" w:hAnsi="Arial" w:cs="Arial"/>
                <w:sz w:val="18"/>
                <w:szCs w:val="18"/>
              </w:rPr>
              <w:t>Совета</w:t>
            </w:r>
            <w:r>
              <w:rPr>
                <w:rFonts w:ascii="Arial" w:eastAsia="Calibri" w:hAnsi="Arial" w:cs="Times New Roman"/>
                <w:sz w:val="18"/>
              </w:rPr>
              <w:t xml:space="preserve"> </w:t>
            </w:r>
            <w:r>
              <w:rPr>
                <w:rFonts w:ascii="Arial" w:eastAsia="Calibri" w:hAnsi="Arial" w:cs="Times New Roman"/>
                <w:sz w:val="18"/>
              </w:rPr>
              <w:lastRenderedPageBreak/>
              <w:t xml:space="preserve">директоров (в соответствии с определением </w:t>
            </w:r>
            <w:r>
              <w:rPr>
                <w:rFonts w:ascii="Arial" w:eastAsia="Times New Roman" w:hAnsi="Arial" w:cs="Arial"/>
                <w:sz w:val="18"/>
                <w:szCs w:val="18"/>
              </w:rPr>
              <w:t>Кодекса).</w:t>
            </w:r>
          </w:p>
          <w:p w:rsidR="00C81778" w:rsidRDefault="00AB0D4E" w:rsidP="00AB0D4E">
            <w:pPr>
              <w:widowControl w:val="0"/>
              <w:numPr>
                <w:ilvl w:val="0"/>
                <w:numId w:val="102"/>
              </w:numPr>
              <w:tabs>
                <w:tab w:val="left" w:pos="24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 случае наличия лица, контролирующего </w:t>
            </w:r>
            <w:r>
              <w:rPr>
                <w:rFonts w:ascii="Arial" w:eastAsia="Times New Roman" w:hAnsi="Arial" w:cs="Arial"/>
                <w:sz w:val="18"/>
                <w:szCs w:val="18"/>
              </w:rPr>
              <w:t>Общество, Общество</w:t>
            </w:r>
            <w:r>
              <w:rPr>
                <w:rFonts w:ascii="Arial" w:eastAsia="Calibri" w:hAnsi="Arial" w:cs="Times New Roman"/>
                <w:sz w:val="18"/>
              </w:rPr>
              <w:t xml:space="preserve"> публикует меморандум контролирующего лица относительно планов такого лица в отношении корпоративного управления в </w:t>
            </w:r>
            <w:r>
              <w:rPr>
                <w:rFonts w:ascii="Arial" w:eastAsia="Times New Roman" w:hAnsi="Arial" w:cs="Arial"/>
                <w:sz w:val="18"/>
                <w:szCs w:val="18"/>
              </w:rPr>
              <w:t>Обществе.</w:t>
            </w:r>
          </w:p>
        </w:tc>
        <w:tc>
          <w:tcPr>
            <w:tcW w:w="2692" w:type="dxa"/>
          </w:tcPr>
          <w:p w:rsidR="00C81778" w:rsidRDefault="00AB0D4E">
            <w:pPr>
              <w:widowControl w:val="0"/>
              <w:spacing w:after="200" w:line="276" w:lineRule="auto"/>
              <w:contextualSpacing/>
              <w:rPr>
                <w:rFonts w:ascii="Arial" w:eastAsia="Times New Roman" w:hAnsi="Arial" w:cs="Arial"/>
                <w:sz w:val="18"/>
                <w:szCs w:val="18"/>
              </w:rPr>
            </w:pPr>
            <w:r>
              <w:rPr>
                <w:rFonts w:ascii="Arial" w:eastAsia="Times New Roman" w:hAnsi="Arial" w:cs="Arial"/>
                <w:sz w:val="18"/>
                <w:szCs w:val="18"/>
              </w:rPr>
              <w:lastRenderedPageBreak/>
              <w:t>Частично соблюдается.</w:t>
            </w:r>
          </w:p>
          <w:p w:rsidR="00C81778" w:rsidRDefault="00C81778">
            <w:pPr>
              <w:widowControl w:val="0"/>
              <w:spacing w:after="200" w:line="276" w:lineRule="auto"/>
              <w:contextualSpacing/>
              <w:rPr>
                <w:rFonts w:ascii="Arial" w:eastAsia="Calibri" w:hAnsi="Arial" w:cs="Times New Roman"/>
                <w:sz w:val="18"/>
              </w:rPr>
            </w:pPr>
          </w:p>
        </w:tc>
        <w:tc>
          <w:tcPr>
            <w:tcW w:w="3966" w:type="dxa"/>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соблюдается.</w:t>
            </w:r>
          </w:p>
          <w:p w:rsidR="00C81778" w:rsidRDefault="00C81778">
            <w:pPr>
              <w:widowControl w:val="0"/>
              <w:tabs>
                <w:tab w:val="left" w:pos="240"/>
              </w:tabs>
              <w:spacing w:after="0" w:line="240" w:lineRule="auto"/>
              <w:contextualSpacing/>
              <w:jc w:val="both"/>
              <w:rPr>
                <w:rFonts w:ascii="Arial" w:eastAsia="Calibri" w:hAnsi="Arial" w:cs="Times New Roman"/>
                <w:sz w:val="18"/>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2: не соблюдается.</w:t>
            </w:r>
          </w:p>
          <w:p w:rsidR="00C81778" w:rsidRDefault="00AB0D4E">
            <w:pPr>
              <w:widowControl w:val="0"/>
              <w:tabs>
                <w:tab w:val="left" w:pos="240"/>
              </w:tabs>
              <w:spacing w:after="0" w:line="240" w:lineRule="auto"/>
              <w:contextualSpacing/>
              <w:jc w:val="both"/>
              <w:rPr>
                <w:rFonts w:ascii="Arial" w:eastAsia="Times New Roman" w:hAnsi="Arial" w:cs="Arial"/>
                <w:sz w:val="18"/>
                <w:szCs w:val="18"/>
              </w:rPr>
            </w:pPr>
            <w:r>
              <w:rPr>
                <w:rFonts w:ascii="Arial" w:eastAsia="Calibri" w:hAnsi="Arial" w:cs="Times New Roman"/>
                <w:sz w:val="18"/>
              </w:rPr>
              <w:t xml:space="preserve">Общество не раскрывает информацию о составе исполнительных органов и </w:t>
            </w:r>
            <w:r>
              <w:rPr>
                <w:rFonts w:ascii="Arial" w:eastAsia="Times New Roman" w:hAnsi="Arial" w:cs="Arial"/>
                <w:sz w:val="18"/>
                <w:szCs w:val="18"/>
              </w:rPr>
              <w:t>Совете</w:t>
            </w:r>
            <w:r>
              <w:rPr>
                <w:rFonts w:ascii="Arial" w:eastAsia="Calibri" w:hAnsi="Arial" w:cs="Times New Roman"/>
                <w:sz w:val="18"/>
              </w:rPr>
              <w:t xml:space="preserve"> директоров ПАО «ОГК-2», независимости каждого члена </w:t>
            </w:r>
            <w:r>
              <w:rPr>
                <w:rFonts w:ascii="Arial" w:eastAsia="Times New Roman" w:hAnsi="Arial" w:cs="Arial"/>
                <w:sz w:val="18"/>
                <w:szCs w:val="18"/>
              </w:rPr>
              <w:t>Совета</w:t>
            </w:r>
            <w:r>
              <w:rPr>
                <w:rFonts w:ascii="Arial" w:eastAsia="Calibri" w:hAnsi="Arial" w:cs="Times New Roman"/>
                <w:sz w:val="18"/>
              </w:rPr>
              <w:t xml:space="preserve"> директоров и их членстве в комитетах </w:t>
            </w:r>
            <w:r>
              <w:rPr>
                <w:rFonts w:ascii="Arial" w:eastAsia="Times New Roman" w:hAnsi="Arial" w:cs="Arial"/>
                <w:sz w:val="18"/>
                <w:szCs w:val="18"/>
              </w:rPr>
              <w:t>Совета</w:t>
            </w:r>
            <w:r>
              <w:rPr>
                <w:rFonts w:ascii="Arial" w:eastAsia="Calibri" w:hAnsi="Arial" w:cs="Times New Roman"/>
                <w:sz w:val="18"/>
              </w:rPr>
              <w:t xml:space="preserve"> директоров Общества (в соответствии с определением </w:t>
            </w:r>
            <w:r>
              <w:rPr>
                <w:rFonts w:ascii="Arial" w:eastAsia="Times New Roman" w:hAnsi="Arial" w:cs="Arial"/>
                <w:sz w:val="18"/>
                <w:szCs w:val="18"/>
              </w:rPr>
              <w:t xml:space="preserve">Кодекса) в соответствии с </w:t>
            </w:r>
            <w:r>
              <w:rPr>
                <w:rFonts w:ascii="Arial" w:eastAsia="Calibri" w:hAnsi="Arial" w:cs="Arial"/>
                <w:sz w:val="18"/>
                <w:szCs w:val="18"/>
              </w:rPr>
              <w:t xml:space="preserve">пп.1 </w:t>
            </w:r>
            <w:r>
              <w:rPr>
                <w:rFonts w:ascii="Arial" w:eastAsia="Calibri" w:hAnsi="Arial" w:cs="Arial"/>
                <w:sz w:val="18"/>
                <w:szCs w:val="18"/>
              </w:rPr>
              <w:lastRenderedPageBreak/>
              <w:t>Постановления Правительства РФ от 12 марта 2022 г. № 351, а также согласно п.1 (</w:t>
            </w:r>
            <w:proofErr w:type="spellStart"/>
            <w:r>
              <w:rPr>
                <w:rFonts w:ascii="Arial" w:eastAsia="Calibri" w:hAnsi="Arial" w:cs="Arial"/>
                <w:sz w:val="18"/>
                <w:szCs w:val="18"/>
              </w:rPr>
              <w:t>абз</w:t>
            </w:r>
            <w:proofErr w:type="spellEnd"/>
            <w:r>
              <w:rPr>
                <w:rFonts w:ascii="Arial" w:eastAsia="Calibri" w:hAnsi="Arial" w:cs="Arial"/>
                <w:sz w:val="18"/>
                <w:szCs w:val="18"/>
              </w:rPr>
              <w:t>. 2) Постановления Правительства РФ от 04 июля 2023 г. № 1102 в связи с тем, что существует риск введения мер ограничительного характера против эмитента/лиц, входящих в состав органов управления эмитента со стороны иностранных государств</w:t>
            </w:r>
            <w:r>
              <w:rPr>
                <w:rFonts w:ascii="Arial" w:eastAsia="Times New Roman" w:hAnsi="Arial" w:cs="Arial"/>
                <w:sz w:val="18"/>
                <w:szCs w:val="18"/>
              </w:rPr>
              <w:t>.</w:t>
            </w:r>
          </w:p>
          <w:p w:rsidR="00C81778" w:rsidRDefault="00AB0D4E">
            <w:pPr>
              <w:widowControl w:val="0"/>
              <w:tabs>
                <w:tab w:val="left" w:pos="315"/>
              </w:tabs>
              <w:spacing w:after="0" w:line="240" w:lineRule="auto"/>
              <w:ind w:left="28"/>
              <w:contextualSpacing/>
              <w:jc w:val="both"/>
              <w:rPr>
                <w:rFonts w:ascii="Arial" w:hAnsi="Arial" w:cs="Arial"/>
                <w:bCs/>
                <w:sz w:val="18"/>
                <w:szCs w:val="18"/>
              </w:rPr>
            </w:pPr>
            <w:r>
              <w:rPr>
                <w:rFonts w:ascii="Arial" w:eastAsia="Calibri" w:hAnsi="Arial" w:cs="Arial"/>
                <w:bCs/>
                <w:sz w:val="18"/>
                <w:szCs w:val="18"/>
              </w:rPr>
              <w:t>При этом данный критерий соблюдался Обществом ранее. В качестве альтернативной меры, в Годовом отчете раскрыта статистическая информация об общем количестве участников заседаний Совета директоров и его комитетов.</w:t>
            </w:r>
          </w:p>
          <w:p w:rsidR="00C81778" w:rsidRDefault="00AB0D4E">
            <w:pPr>
              <w:widowControl w:val="0"/>
              <w:tabs>
                <w:tab w:val="left" w:pos="315"/>
              </w:tabs>
              <w:spacing w:after="0" w:line="240" w:lineRule="auto"/>
              <w:ind w:left="28"/>
              <w:contextualSpacing/>
              <w:jc w:val="both"/>
              <w:rPr>
                <w:rFonts w:ascii="Arial" w:eastAsia="Calibri" w:hAnsi="Arial" w:cs="Arial"/>
                <w:sz w:val="18"/>
                <w:szCs w:val="18"/>
              </w:rPr>
            </w:pPr>
            <w:r>
              <w:rPr>
                <w:rFonts w:ascii="Arial" w:eastAsia="Times New Roman" w:hAnsi="Arial" w:cs="Arial"/>
                <w:bCs/>
                <w:sz w:val="18"/>
                <w:szCs w:val="18"/>
              </w:rPr>
              <w:t xml:space="preserve">Несоответствие критерию является ограниченным по времени, и Общество намерено восстановить соблюдение данного критерия после изменения внешних обстоятельств, влияющих на возможность введения мер ограничительного характера против Общества или лиц, входящих в состав органов управления, со стороны иностранных государств, или после отмены законодательных актов, направленных на снижение </w:t>
            </w:r>
            <w:proofErr w:type="spellStart"/>
            <w:r>
              <w:rPr>
                <w:rFonts w:ascii="Arial" w:eastAsia="Times New Roman" w:hAnsi="Arial" w:cs="Arial"/>
                <w:bCs/>
                <w:sz w:val="18"/>
                <w:szCs w:val="18"/>
              </w:rPr>
              <w:t>санкционных</w:t>
            </w:r>
            <w:proofErr w:type="spellEnd"/>
            <w:r>
              <w:rPr>
                <w:rFonts w:ascii="Arial" w:eastAsia="Times New Roman" w:hAnsi="Arial" w:cs="Arial"/>
                <w:bCs/>
                <w:sz w:val="18"/>
                <w:szCs w:val="18"/>
              </w:rPr>
              <w:t xml:space="preserve"> рисков, в том числе Постановление Правительства РФ от 12.03.2022 № 351 «Об особенностях раскрытия и предоставления информации, подлежащей раскрытию и предоставлению в соответствии с требованиями Федерального закона «Об акционерных обществах» и Федерального закона «О рынке ценных бумаг», и особенностях раскрытия инсайдерской информации в соответствии с требованиями Федерального закона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и Постановления Правительства РФ от 04.07.2023 N 1102 "Об особенностях раскрытия и (или) предоставления информации, подлежащей раскрытию и </w:t>
            </w:r>
            <w:r>
              <w:rPr>
                <w:rFonts w:ascii="Arial" w:eastAsia="Times New Roman" w:hAnsi="Arial" w:cs="Arial"/>
                <w:bCs/>
                <w:sz w:val="18"/>
                <w:szCs w:val="18"/>
              </w:rPr>
              <w:lastRenderedPageBreak/>
              <w:t>(или) предоставлению в соответствии с требованиями Федерального закона "Об акционерных обществах" и Федерального закона "О рынке ценных бумаг".</w:t>
            </w:r>
          </w:p>
          <w:p w:rsidR="00C81778" w:rsidRDefault="00C81778">
            <w:pPr>
              <w:widowControl w:val="0"/>
              <w:tabs>
                <w:tab w:val="left" w:pos="315"/>
              </w:tabs>
              <w:spacing w:after="0" w:line="240" w:lineRule="auto"/>
              <w:ind w:left="28"/>
              <w:contextualSpacing/>
              <w:jc w:val="both"/>
              <w:rPr>
                <w:rFonts w:ascii="Arial" w:eastAsia="Calibri" w:hAnsi="Arial" w:cs="Arial"/>
                <w:sz w:val="18"/>
                <w:szCs w:val="18"/>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3: соблюдается.</w:t>
            </w:r>
          </w:p>
          <w:p w:rsidR="00C81778" w:rsidRDefault="00C81778">
            <w:pPr>
              <w:widowControl w:val="0"/>
              <w:spacing w:after="200" w:line="276" w:lineRule="auto"/>
              <w:contextualSpacing/>
              <w:rPr>
                <w:rFonts w:ascii="Arial" w:eastAsia="Calibri" w:hAnsi="Arial" w:cs="Times New Roman"/>
                <w:sz w:val="18"/>
              </w:rPr>
            </w:pP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6.2</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Общество своевременно раскрывает полную, актуальную и достоверную информацию об </w:t>
            </w:r>
            <w:r>
              <w:rPr>
                <w:rFonts w:ascii="Arial" w:eastAsia="Calibri" w:hAnsi="Arial" w:cs="Arial"/>
                <w:b/>
                <w:sz w:val="18"/>
                <w:szCs w:val="18"/>
              </w:rPr>
              <w:t>Обществе</w:t>
            </w:r>
            <w:r>
              <w:rPr>
                <w:rFonts w:ascii="Arial" w:eastAsia="Calibri" w:hAnsi="Arial" w:cs="Times New Roman"/>
                <w:b/>
                <w:sz w:val="18"/>
              </w:rPr>
              <w:t xml:space="preserve"> для обеспечения возможности принятия обоснованных решений акционерами </w:t>
            </w:r>
            <w:r>
              <w:rPr>
                <w:rFonts w:ascii="Arial" w:eastAsia="Calibri" w:hAnsi="Arial" w:cs="Arial"/>
                <w:b/>
                <w:sz w:val="18"/>
                <w:szCs w:val="18"/>
              </w:rPr>
              <w:t>Общества</w:t>
            </w:r>
            <w:r>
              <w:rPr>
                <w:rFonts w:ascii="Arial" w:eastAsia="Calibri" w:hAnsi="Arial" w:cs="Times New Roman"/>
                <w:b/>
                <w:sz w:val="18"/>
              </w:rPr>
              <w:t xml:space="preserve"> и инвесторами</w:t>
            </w:r>
            <w:r>
              <w:rPr>
                <w:rFonts w:ascii="Arial" w:eastAsia="Calibri" w:hAnsi="Arial" w:cs="Arial"/>
                <w:b/>
                <w:sz w:val="18"/>
                <w:szCs w:val="18"/>
              </w:rPr>
              <w:t>.</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6.2.1</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Общество раскрывает информацию в соответствии с принципами регулярности, последовательности и оперативности, а также доступности, достоверности, полноты и сравнимости раскрываемых данных</w:t>
            </w:r>
            <w:r>
              <w:rPr>
                <w:rFonts w:ascii="Arial" w:eastAsia="Calibri" w:hAnsi="Arial" w:cs="Arial"/>
                <w:sz w:val="18"/>
                <w:szCs w:val="18"/>
              </w:rPr>
              <w:t>.</w:t>
            </w:r>
          </w:p>
        </w:tc>
        <w:tc>
          <w:tcPr>
            <w:tcW w:w="3827" w:type="dxa"/>
          </w:tcPr>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1. В Обществе определена процедура, обеспечивающая координацию работы всех структурных подразделений и работников Общества, связанных с раскрытием информации или деятельность которых может привести к необходимости раскрытия информации.</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2. В случае если ценные бумаги Общества обращаются на иностранных организованных рынках, раскрытие существенной информации в Российской Федерации и на таких рынках осуществляется синхронно и эквивалентно в течение отчетного года.</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3. Если иностранные акционеры владеют существенным количеством акций Общества, то в течение отчетного года раскрытие информации осуществлялось не только на русском, но также и на одном из наиболее распространенных иностранных языков.</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Соблюдается.</w:t>
            </w:r>
          </w:p>
        </w:tc>
        <w:tc>
          <w:tcPr>
            <w:tcW w:w="3966" w:type="dxa"/>
          </w:tcPr>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Критерий 2: соблюдается.</w:t>
            </w:r>
          </w:p>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Критерий 3: соблюдается.</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6.2.2</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Общество избегает формального подхода при раскрытии информации и раскрывает существенную информацию о своей деятельности, даже если раскрытие такой информации не предусмотрено законодательством</w:t>
            </w:r>
            <w:r>
              <w:rPr>
                <w:rFonts w:ascii="Arial" w:eastAsia="Calibri" w:hAnsi="Arial" w:cs="Arial"/>
                <w:sz w:val="18"/>
                <w:szCs w:val="18"/>
              </w:rPr>
              <w:t>.</w:t>
            </w:r>
          </w:p>
        </w:tc>
        <w:tc>
          <w:tcPr>
            <w:tcW w:w="3827" w:type="dxa"/>
            <w:shd w:val="clear" w:color="auto" w:fill="DBE5F1"/>
          </w:tcPr>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1. В информационной политике Общества определены подходы к раскрытию сведений об иных событиях (действиях), оказывающих существенное влияние на стоимость или котировки его ценных бумаг, раскрытие сведений о которых не предусмотрено законодательством.</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 xml:space="preserve">2. Общество раскрывает информацию о структуре капитала Общества в соответствии с рекомендацией 290 Кодекса в Годовом отчете и на сайте </w:t>
            </w:r>
            <w:r>
              <w:rPr>
                <w:rFonts w:ascii="Arial" w:eastAsia="Times New Roman" w:hAnsi="Arial" w:cs="Arial"/>
                <w:sz w:val="18"/>
                <w:szCs w:val="18"/>
              </w:rPr>
              <w:lastRenderedPageBreak/>
              <w:t>Общества в сети Интернет.</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3. Общество раскрывает информацию о подконтрольных организациях, имеющих для него существенное значение, в том числе о ключевых направлениях их деятельности, о механизмах, обеспечивающих подотчетность подконтрольных организаций, полномочиях Совета директоров общества в отношении определения стратегии и оценки результатов деятельности подконтрольных организаций.</w:t>
            </w:r>
          </w:p>
          <w:p w:rsidR="00C81778" w:rsidRDefault="00AB0D4E">
            <w:pPr>
              <w:widowControl w:val="0"/>
              <w:spacing w:after="200" w:line="276" w:lineRule="auto"/>
              <w:contextualSpacing/>
              <w:jc w:val="both"/>
              <w:rPr>
                <w:rFonts w:ascii="Arial" w:eastAsia="Calibri" w:hAnsi="Arial" w:cs="Times New Roman"/>
                <w:sz w:val="18"/>
              </w:rPr>
            </w:pPr>
            <w:r>
              <w:rPr>
                <w:rFonts w:eastAsia="Calibri" w:cs="Times New Roman"/>
              </w:rPr>
              <w:t xml:space="preserve">4. </w:t>
            </w:r>
            <w:r>
              <w:rPr>
                <w:rFonts w:ascii="Arial" w:eastAsia="Calibri" w:hAnsi="Arial" w:cs="Arial"/>
                <w:sz w:val="18"/>
                <w:szCs w:val="20"/>
                <w:lang w:eastAsia="ru-RU"/>
              </w:rPr>
              <w:t>Общество раскрывает нефинансовый отчет - отчет об устойчивом развитии, экологический отчет, отчет о корпоративной социальной ответственности или иной отчет, содержащий нефинансовую информацию, в том числе о факторах, связанных с окружающей средой (в том числе экологические факторы и факторы, связанные с изменением климата), обществом (социальные факторы) и корпоративным управлением, за исключением отчета эмитента эмиссионных ценных бумаг и Годового отчета акционерного общества.</w:t>
            </w:r>
          </w:p>
        </w:tc>
        <w:tc>
          <w:tcPr>
            <w:tcW w:w="2692" w:type="dxa"/>
            <w:shd w:val="clear" w:color="auto" w:fill="DBE5F1"/>
          </w:tcPr>
          <w:p w:rsidR="00C81778" w:rsidRDefault="00AB0D4E">
            <w:pPr>
              <w:widowControl w:val="0"/>
              <w:spacing w:after="200" w:line="276" w:lineRule="auto"/>
              <w:contextualSpacing/>
              <w:rPr>
                <w:rFonts w:ascii="Arial" w:eastAsia="Times New Roman" w:hAnsi="Arial" w:cs="Arial"/>
                <w:sz w:val="18"/>
                <w:szCs w:val="18"/>
              </w:rPr>
            </w:pPr>
            <w:r>
              <w:rPr>
                <w:rFonts w:ascii="Arial" w:eastAsia="Times New Roman" w:hAnsi="Arial" w:cs="Arial"/>
                <w:sz w:val="18"/>
                <w:szCs w:val="18"/>
              </w:rPr>
              <w:lastRenderedPageBreak/>
              <w:t>Соблюдается.</w:t>
            </w:r>
          </w:p>
          <w:p w:rsidR="00C81778" w:rsidRDefault="00C81778">
            <w:pPr>
              <w:widowControl w:val="0"/>
              <w:spacing w:after="200" w:line="276" w:lineRule="auto"/>
              <w:contextualSpacing/>
              <w:rPr>
                <w:rFonts w:ascii="Arial" w:eastAsia="Calibri" w:hAnsi="Arial" w:cs="Times New Roman"/>
                <w:sz w:val="18"/>
              </w:rPr>
            </w:pPr>
          </w:p>
        </w:tc>
        <w:tc>
          <w:tcPr>
            <w:tcW w:w="3966" w:type="dxa"/>
            <w:shd w:val="clear" w:color="auto" w:fill="DBE5F1"/>
          </w:tcPr>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Критерий 1: соблюдается.</w:t>
            </w:r>
          </w:p>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Критерий 2: соблюдается.</w:t>
            </w:r>
          </w:p>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Критерий 3: соблюдается.</w:t>
            </w:r>
          </w:p>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Критерий 4: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6.2.3</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Годовой отчет, являясь одним из наиболее важных инструментов информационного взаимодействия с акционерами и другими заинтересованными сторонами, содержит информацию, позволяющую оценить итоги деятельности </w:t>
            </w:r>
            <w:r>
              <w:rPr>
                <w:rFonts w:ascii="Arial" w:eastAsia="Calibri" w:hAnsi="Arial" w:cs="Arial"/>
                <w:sz w:val="18"/>
                <w:szCs w:val="18"/>
              </w:rPr>
              <w:t>Общества</w:t>
            </w:r>
            <w:r>
              <w:rPr>
                <w:rFonts w:ascii="Arial" w:eastAsia="Calibri" w:hAnsi="Arial" w:cs="Times New Roman"/>
                <w:sz w:val="18"/>
              </w:rPr>
              <w:t xml:space="preserve"> за год</w:t>
            </w:r>
            <w:r>
              <w:rPr>
                <w:rFonts w:ascii="Arial" w:eastAsia="Calibri" w:hAnsi="Arial" w:cs="Arial"/>
                <w:sz w:val="18"/>
                <w:szCs w:val="18"/>
              </w:rPr>
              <w:t>.</w:t>
            </w:r>
          </w:p>
        </w:tc>
        <w:tc>
          <w:tcPr>
            <w:tcW w:w="3827" w:type="dxa"/>
          </w:tcPr>
          <w:p w:rsidR="00C81778" w:rsidRDefault="00AB0D4E" w:rsidP="00AB0D4E">
            <w:pPr>
              <w:widowControl w:val="0"/>
              <w:numPr>
                <w:ilvl w:val="0"/>
                <w:numId w:val="103"/>
              </w:numPr>
              <w:tabs>
                <w:tab w:val="left" w:pos="312"/>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Годовой отчет </w:t>
            </w:r>
            <w:r>
              <w:rPr>
                <w:rFonts w:ascii="Arial" w:eastAsia="Calibri" w:hAnsi="Arial" w:cs="Arial"/>
                <w:sz w:val="18"/>
                <w:szCs w:val="18"/>
              </w:rPr>
              <w:t>Общества</w:t>
            </w:r>
            <w:r>
              <w:rPr>
                <w:rFonts w:ascii="Arial" w:eastAsia="Calibri" w:hAnsi="Arial" w:cs="Times New Roman"/>
                <w:sz w:val="18"/>
              </w:rPr>
              <w:t xml:space="preserve"> содержит информацию о результатах</w:t>
            </w:r>
            <w:r>
              <w:rPr>
                <w:rFonts w:eastAsia="Calibri" w:cs="Times New Roman"/>
              </w:rPr>
              <w:t xml:space="preserve"> </w:t>
            </w:r>
            <w:r>
              <w:rPr>
                <w:rFonts w:ascii="Arial" w:eastAsia="Calibri" w:hAnsi="Arial" w:cs="Times New Roman"/>
                <w:sz w:val="18"/>
              </w:rPr>
              <w:t>оценки комитетом по аудиту эффективности процесса проведения внешнего и внутреннего аудита.</w:t>
            </w:r>
          </w:p>
          <w:p w:rsidR="00C81778" w:rsidRDefault="00AB0D4E" w:rsidP="00AB0D4E">
            <w:pPr>
              <w:widowControl w:val="0"/>
              <w:numPr>
                <w:ilvl w:val="0"/>
                <w:numId w:val="104"/>
              </w:numPr>
              <w:tabs>
                <w:tab w:val="left" w:pos="312"/>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Годовой отчет </w:t>
            </w:r>
            <w:r>
              <w:rPr>
                <w:rFonts w:ascii="Arial" w:eastAsia="Calibri" w:hAnsi="Arial" w:cs="Arial"/>
                <w:sz w:val="18"/>
                <w:szCs w:val="18"/>
              </w:rPr>
              <w:t>Общества</w:t>
            </w:r>
            <w:r>
              <w:rPr>
                <w:rFonts w:ascii="Arial" w:eastAsia="Calibri" w:hAnsi="Arial" w:cs="Times New Roman"/>
                <w:sz w:val="18"/>
              </w:rPr>
              <w:t xml:space="preserve"> содержит сведения о политике Общества в области охраны окружающей среды, социальной политике Общества.</w:t>
            </w:r>
          </w:p>
        </w:tc>
        <w:tc>
          <w:tcPr>
            <w:tcW w:w="2692" w:type="dxa"/>
          </w:tcPr>
          <w:p w:rsidR="00C81778" w:rsidRDefault="00AB0D4E">
            <w:pPr>
              <w:widowControl w:val="0"/>
              <w:spacing w:after="200" w:line="276" w:lineRule="auto"/>
              <w:contextualSpacing/>
              <w:rPr>
                <w:rFonts w:ascii="Arial" w:eastAsia="Times New Roman" w:hAnsi="Arial" w:cs="Arial"/>
                <w:sz w:val="18"/>
                <w:szCs w:val="18"/>
              </w:rPr>
            </w:pPr>
            <w:r>
              <w:rPr>
                <w:rFonts w:ascii="Arial" w:eastAsia="Times New Roman" w:hAnsi="Arial" w:cs="Arial"/>
                <w:sz w:val="18"/>
                <w:szCs w:val="18"/>
              </w:rPr>
              <w:t>Частично соблюдается.</w:t>
            </w:r>
          </w:p>
          <w:p w:rsidR="00C81778" w:rsidRDefault="00C81778">
            <w:pPr>
              <w:widowControl w:val="0"/>
              <w:spacing w:after="200" w:line="276" w:lineRule="auto"/>
              <w:contextualSpacing/>
              <w:rPr>
                <w:rFonts w:ascii="Arial" w:eastAsia="Calibri" w:hAnsi="Arial" w:cs="Times New Roman"/>
                <w:sz w:val="18"/>
              </w:rPr>
            </w:pPr>
          </w:p>
        </w:tc>
        <w:tc>
          <w:tcPr>
            <w:tcW w:w="3966" w:type="dxa"/>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частично соблюдается.</w:t>
            </w:r>
          </w:p>
          <w:p w:rsidR="00C81778" w:rsidRDefault="00C81778">
            <w:pPr>
              <w:widowControl w:val="0"/>
              <w:tabs>
                <w:tab w:val="left" w:pos="312"/>
              </w:tabs>
              <w:spacing w:after="0" w:line="240" w:lineRule="auto"/>
              <w:contextualSpacing/>
              <w:jc w:val="both"/>
              <w:rPr>
                <w:rFonts w:ascii="Arial" w:eastAsia="Calibri" w:hAnsi="Arial" w:cs="Times New Roman"/>
                <w:sz w:val="18"/>
              </w:rPr>
            </w:pPr>
          </w:p>
          <w:p w:rsidR="00C81778" w:rsidRDefault="00AB0D4E">
            <w:pPr>
              <w:widowControl w:val="0"/>
              <w:tabs>
                <w:tab w:val="left" w:pos="312"/>
              </w:tabs>
              <w:spacing w:after="0" w:line="240" w:lineRule="auto"/>
              <w:contextualSpacing/>
              <w:jc w:val="both"/>
              <w:rPr>
                <w:rFonts w:ascii="Arial" w:eastAsia="Calibri" w:hAnsi="Arial" w:cs="Times New Roman"/>
                <w:sz w:val="18"/>
              </w:rPr>
            </w:pPr>
            <w:r>
              <w:rPr>
                <w:rFonts w:ascii="Arial" w:eastAsia="Calibri" w:hAnsi="Arial" w:cs="Times New Roman"/>
                <w:sz w:val="18"/>
              </w:rPr>
              <w:t xml:space="preserve">Годовой отчет Общества не содержит информацию о результатах оценки Комитетом по аудиту эффективности процесса проведения внутреннего аудита, поскольку такая оценка Комитетом в отчетном периоде не проводилась. При этом, в Годовой отчет включена информация об оценке Комитетом по аудиту Совета директоров проведения внешнего аудита. Также, в соответствии с Положением о Комитете по аудиту Совета директоров Общества к основным функциям </w:t>
            </w:r>
            <w:r>
              <w:rPr>
                <w:rFonts w:ascii="Arial" w:eastAsia="Calibri" w:hAnsi="Arial" w:cs="Times New Roman"/>
                <w:sz w:val="18"/>
              </w:rPr>
              <w:lastRenderedPageBreak/>
              <w:t xml:space="preserve">Комитета помимо осуществления </w:t>
            </w:r>
            <w:proofErr w:type="gramStart"/>
            <w:r>
              <w:rPr>
                <w:rFonts w:ascii="Arial" w:eastAsia="Calibri" w:hAnsi="Arial" w:cs="Times New Roman"/>
                <w:sz w:val="18"/>
              </w:rPr>
              <w:t>надзора  за</w:t>
            </w:r>
            <w:proofErr w:type="gramEnd"/>
            <w:r>
              <w:rPr>
                <w:rFonts w:ascii="Arial" w:eastAsia="Calibri" w:hAnsi="Arial" w:cs="Times New Roman"/>
                <w:sz w:val="18"/>
              </w:rPr>
              <w:t xml:space="preserve"> проведением внешнего аудита Общества и оценки качества выполнения аудиторской проверки и заключений внешних аудиторов, оценки эффективности внешнего аудитора Общества, относится также и оценка эффективности деятельности подразделения внутреннего аудита ( п. 2.3 ст.2 Положения о Комитете Совета директоров ПАО «ОГК-2» по аудиту).</w:t>
            </w:r>
          </w:p>
          <w:p w:rsidR="00C81778" w:rsidRDefault="00AB0D4E">
            <w:pPr>
              <w:widowControl w:val="0"/>
              <w:tabs>
                <w:tab w:val="left" w:pos="312"/>
              </w:tabs>
              <w:spacing w:after="200" w:line="276" w:lineRule="auto"/>
              <w:ind w:left="25"/>
              <w:contextualSpacing/>
              <w:jc w:val="both"/>
              <w:rPr>
                <w:rFonts w:ascii="Arial" w:eastAsia="Calibri" w:hAnsi="Arial" w:cs="Times New Roman"/>
                <w:sz w:val="18"/>
              </w:rPr>
            </w:pPr>
            <w:r>
              <w:rPr>
                <w:rFonts w:ascii="Arial" w:eastAsia="Calibri" w:hAnsi="Arial" w:cs="Times New Roman"/>
                <w:sz w:val="18"/>
              </w:rPr>
              <w:t>Общество планирует в среднесрочной перспективе рассмотреть возможность включения в план работы Комитета по аудиту Совета директоров Общества вопроса об оценке процесса проведения внутреннего аудита и включения информации о результатах оценки в состав Годового отчета.</w:t>
            </w:r>
          </w:p>
          <w:p w:rsidR="00C81778" w:rsidRDefault="00C81778">
            <w:pPr>
              <w:widowControl w:val="0"/>
              <w:tabs>
                <w:tab w:val="left" w:pos="312"/>
              </w:tabs>
              <w:spacing w:after="200" w:line="276" w:lineRule="auto"/>
              <w:ind w:left="-113"/>
              <w:contextualSpacing/>
              <w:jc w:val="both"/>
              <w:rPr>
                <w:rFonts w:ascii="Arial" w:eastAsia="Calibri" w:hAnsi="Arial" w:cs="Times New Roman"/>
                <w:sz w:val="18"/>
              </w:rPr>
            </w:pPr>
          </w:p>
          <w:p w:rsidR="00C81778" w:rsidRDefault="00AB0D4E">
            <w:pPr>
              <w:widowControl w:val="0"/>
              <w:tabs>
                <w:tab w:val="left" w:pos="312"/>
              </w:tabs>
              <w:spacing w:after="200" w:line="276" w:lineRule="auto"/>
              <w:ind w:left="-113"/>
              <w:contextualSpacing/>
              <w:jc w:val="both"/>
              <w:rPr>
                <w:rFonts w:ascii="Arial" w:eastAsia="Calibri" w:hAnsi="Arial" w:cs="Times New Roman"/>
                <w:sz w:val="18"/>
              </w:rPr>
            </w:pPr>
            <w:r>
              <w:rPr>
                <w:rFonts w:ascii="Arial" w:eastAsia="Times New Roman" w:hAnsi="Arial" w:cs="Arial"/>
                <w:sz w:val="18"/>
                <w:szCs w:val="18"/>
                <w:u w:val="single"/>
              </w:rPr>
              <w:t>Критерий 2: соблюдается.</w:t>
            </w:r>
          </w:p>
          <w:p w:rsidR="00C81778" w:rsidRDefault="00C81778">
            <w:pPr>
              <w:widowControl w:val="0"/>
              <w:tabs>
                <w:tab w:val="left" w:pos="312"/>
              </w:tabs>
              <w:spacing w:after="200" w:line="276" w:lineRule="auto"/>
              <w:ind w:left="-113"/>
              <w:contextualSpacing/>
              <w:jc w:val="both"/>
              <w:rPr>
                <w:rFonts w:ascii="Arial" w:eastAsia="Calibri" w:hAnsi="Arial" w:cs="Times New Roman"/>
                <w:sz w:val="18"/>
              </w:rPr>
            </w:pP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6.3</w:t>
            </w:r>
            <w:r>
              <w:rPr>
                <w:rFonts w:ascii="Arial" w:eastAsia="Calibri" w:hAnsi="Arial" w:cs="Arial"/>
                <w:b/>
                <w:bCs/>
                <w:sz w:val="18"/>
                <w:szCs w:val="18"/>
              </w:rPr>
              <w:t>.</w:t>
            </w:r>
          </w:p>
        </w:tc>
        <w:tc>
          <w:tcPr>
            <w:tcW w:w="14311" w:type="dxa"/>
            <w:gridSpan w:val="4"/>
            <w:shd w:val="clear" w:color="auto" w:fill="DBE5F1"/>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Общество предоставляет информацию и документы по запросам акционеров в соответствии с принципами равнодоступности и необременительности</w:t>
            </w:r>
            <w:r>
              <w:rPr>
                <w:rFonts w:ascii="Arial" w:eastAsia="Calibri" w:hAnsi="Arial" w:cs="Arial"/>
                <w:b/>
                <w:sz w:val="18"/>
                <w:szCs w:val="18"/>
              </w:rPr>
              <w:t>.</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6.3.1</w:t>
            </w:r>
            <w:r>
              <w:rPr>
                <w:rFonts w:ascii="Arial" w:eastAsia="Calibri"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Реализация акционерами права на доступ к документам и информации Общества не сопряжена с неоправданными сложностями.</w:t>
            </w:r>
          </w:p>
        </w:tc>
        <w:tc>
          <w:tcPr>
            <w:tcW w:w="3827" w:type="dxa"/>
          </w:tcPr>
          <w:p w:rsidR="00C81778" w:rsidRDefault="00AB0D4E">
            <w:pPr>
              <w:widowControl w:val="0"/>
              <w:tabs>
                <w:tab w:val="left" w:pos="312"/>
              </w:tabs>
              <w:spacing w:after="0" w:line="240" w:lineRule="auto"/>
              <w:ind w:left="28"/>
              <w:contextualSpacing/>
              <w:jc w:val="both"/>
              <w:rPr>
                <w:rFonts w:ascii="Arial" w:eastAsia="Calibri" w:hAnsi="Arial" w:cs="Times New Roman"/>
                <w:sz w:val="18"/>
              </w:rPr>
            </w:pPr>
            <w:r>
              <w:rPr>
                <w:rFonts w:ascii="Arial" w:eastAsia="Calibri" w:hAnsi="Arial" w:cs="Times New Roman"/>
                <w:sz w:val="18"/>
              </w:rPr>
              <w:t>1. В информационной политике (внутренних документах, определяющих информационную политику) общества определен необременительный порядок предоставления по запросам акционеров доступа к информации и документам Общества.</w:t>
            </w:r>
          </w:p>
          <w:p w:rsidR="00C81778" w:rsidRDefault="00AB0D4E">
            <w:pPr>
              <w:widowControl w:val="0"/>
              <w:spacing w:after="0" w:line="240" w:lineRule="auto"/>
              <w:ind w:left="28"/>
              <w:contextualSpacing/>
              <w:jc w:val="both"/>
              <w:rPr>
                <w:rFonts w:ascii="Arial" w:eastAsia="Calibri" w:hAnsi="Arial" w:cs="Times New Roman"/>
                <w:sz w:val="18"/>
              </w:rPr>
            </w:pPr>
            <w:r>
              <w:rPr>
                <w:rFonts w:ascii="Arial" w:eastAsia="Calibri" w:hAnsi="Arial" w:cs="Times New Roman"/>
                <w:sz w:val="18"/>
              </w:rPr>
              <w:t>2. В информационной политике (внутренних документах, определяющих информационную политику) содержатся положения, предусматривающие, что, в случае поступления запроса акционера о предоставлении информации о подконтрольных Обществу организациях, Общество предпринимает необходимые усилия для получения такой информации у соответствующих подконтрольных Обществу организаций.</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Частично соблюдается.</w:t>
            </w:r>
          </w:p>
        </w:tc>
        <w:tc>
          <w:tcPr>
            <w:tcW w:w="3966" w:type="dxa"/>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соблюдается.</w:t>
            </w:r>
          </w:p>
          <w:p w:rsidR="00C81778" w:rsidRDefault="00C81778">
            <w:pPr>
              <w:widowControl w:val="0"/>
              <w:spacing w:after="200" w:line="276" w:lineRule="auto"/>
              <w:contextualSpacing/>
              <w:jc w:val="both"/>
              <w:rPr>
                <w:rFonts w:ascii="Arial" w:eastAsia="Calibri" w:hAnsi="Arial" w:cs="Times New Roman"/>
                <w:sz w:val="18"/>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2: частично соблюдается.</w:t>
            </w:r>
          </w:p>
          <w:p w:rsidR="00C81778" w:rsidRDefault="00AB0D4E">
            <w:pPr>
              <w:widowControl w:val="0"/>
              <w:spacing w:after="200" w:line="276" w:lineRule="auto"/>
              <w:contextualSpacing/>
              <w:jc w:val="both"/>
              <w:rPr>
                <w:rFonts w:ascii="Arial" w:eastAsia="Calibri" w:hAnsi="Arial" w:cs="Arial"/>
                <w:sz w:val="18"/>
                <w:szCs w:val="20"/>
                <w:lang w:eastAsia="ru-RU"/>
              </w:rPr>
            </w:pPr>
            <w:r>
              <w:rPr>
                <w:rFonts w:ascii="Arial" w:eastAsia="Calibri" w:hAnsi="Arial" w:cs="Arial"/>
                <w:sz w:val="18"/>
                <w:szCs w:val="20"/>
                <w:lang w:eastAsia="ru-RU"/>
              </w:rPr>
              <w:t>В соответствии с действующим Положением об информационной политике (утв. решением Совета директоров ПАО «ОГК-2» от 08.09.2022, протокол №284) Общество предоставляет владельцам ценных бумаг и иным заинтересованным лицам информацию, раскрытие которой предусмотрено действующим законодательством и данным Положением.</w:t>
            </w:r>
          </w:p>
          <w:p w:rsidR="00C81778" w:rsidRDefault="00AB0D4E">
            <w:pPr>
              <w:widowControl w:val="0"/>
              <w:spacing w:after="200" w:line="276" w:lineRule="auto"/>
              <w:contextualSpacing/>
              <w:jc w:val="both"/>
              <w:rPr>
                <w:rFonts w:ascii="Arial" w:eastAsia="Calibri" w:hAnsi="Arial" w:cs="Arial"/>
                <w:sz w:val="18"/>
                <w:lang w:eastAsia="ru-RU"/>
              </w:rPr>
            </w:pPr>
            <w:r>
              <w:rPr>
                <w:rFonts w:ascii="Arial" w:eastAsia="Calibri" w:hAnsi="Arial" w:cs="Arial"/>
                <w:sz w:val="18"/>
                <w:lang w:eastAsia="ru-RU"/>
              </w:rPr>
              <w:t>Кроме того, в соответствии со сложившейся практикой, Общество предпринимает все меры для максимально полного ответа на поступившие запросы акционеров, включая и получение информации от подконтрольных Обществу организаций в случае необходимости.</w:t>
            </w:r>
          </w:p>
          <w:p w:rsidR="00C81778" w:rsidRDefault="00AB0D4E">
            <w:pPr>
              <w:widowControl w:val="0"/>
              <w:spacing w:after="200" w:line="276" w:lineRule="auto"/>
              <w:contextualSpacing/>
              <w:jc w:val="both"/>
              <w:rPr>
                <w:rFonts w:ascii="Arial" w:eastAsia="Calibri" w:hAnsi="Arial" w:cs="Times New Roman"/>
                <w:sz w:val="18"/>
              </w:rPr>
            </w:pPr>
            <w:r>
              <w:rPr>
                <w:rFonts w:ascii="Arial" w:eastAsia="Calibri" w:hAnsi="Arial" w:cs="Arial"/>
                <w:sz w:val="18"/>
                <w:szCs w:val="20"/>
                <w:lang w:eastAsia="ru-RU"/>
              </w:rPr>
              <w:t xml:space="preserve">Поскольку ПАО «ОГК-2» входит в Группу </w:t>
            </w:r>
            <w:r>
              <w:rPr>
                <w:rFonts w:ascii="Arial" w:eastAsia="Calibri" w:hAnsi="Arial" w:cs="Arial"/>
                <w:sz w:val="18"/>
                <w:szCs w:val="20"/>
                <w:lang w:eastAsia="ru-RU"/>
              </w:rPr>
              <w:lastRenderedPageBreak/>
              <w:t>Газпром, управление в которой осуществляется по единым корпоративным стандартам, которым соответствует и действующее Положение об информационной политике, в ближайшее время корректировка данного документа не планируется. В то же время Общество, в целях дальнейшего совершенствования корпоративного управления, намерено продолжить в 2024 г. взаимодействие с основными акционерами в части приведения Положения об информационной политике в соответствие с данным критерием.</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6.3.2</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При предоставлении </w:t>
            </w:r>
            <w:r>
              <w:rPr>
                <w:rFonts w:ascii="Arial" w:eastAsia="Calibri" w:hAnsi="Arial" w:cs="Arial"/>
                <w:sz w:val="18"/>
                <w:szCs w:val="18"/>
              </w:rPr>
              <w:t>Обществом</w:t>
            </w:r>
            <w:r>
              <w:rPr>
                <w:rFonts w:ascii="Arial" w:eastAsia="Calibri" w:hAnsi="Arial" w:cs="Times New Roman"/>
                <w:sz w:val="18"/>
              </w:rPr>
              <w:t xml:space="preserve"> информации акционерам обеспечивается разумный баланс между интересами конкретных акционеров и интересами самого </w:t>
            </w:r>
            <w:r>
              <w:rPr>
                <w:rFonts w:ascii="Arial" w:eastAsia="Calibri" w:hAnsi="Arial" w:cs="Arial"/>
                <w:sz w:val="18"/>
                <w:szCs w:val="18"/>
              </w:rPr>
              <w:t>Общества</w:t>
            </w:r>
            <w:r>
              <w:rPr>
                <w:rFonts w:ascii="Arial" w:eastAsia="Calibri" w:hAnsi="Arial" w:cs="Times New Roman"/>
                <w:sz w:val="18"/>
              </w:rPr>
              <w:t>, заинтересованного в сохранении конфиденциальности важной коммерческой информации, которая может оказать существенное влияние на его конкурентоспособность</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105"/>
              </w:numPr>
              <w:tabs>
                <w:tab w:val="left" w:pos="30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В течение отчетного периода</w:t>
            </w:r>
            <w:r>
              <w:rPr>
                <w:rFonts w:ascii="Arial" w:eastAsia="Calibri" w:hAnsi="Arial" w:cs="Arial"/>
                <w:sz w:val="18"/>
                <w:szCs w:val="18"/>
              </w:rPr>
              <w:t>, Общество</w:t>
            </w:r>
            <w:r>
              <w:rPr>
                <w:rFonts w:ascii="Arial" w:eastAsia="Calibri" w:hAnsi="Arial" w:cs="Times New Roman"/>
                <w:sz w:val="18"/>
              </w:rPr>
              <w:t xml:space="preserve"> не отказывало в удовлетворении запросов акционеров о предоставлении информации</w:t>
            </w:r>
            <w:r>
              <w:rPr>
                <w:rFonts w:ascii="Arial" w:eastAsia="Calibri" w:hAnsi="Arial" w:cs="Arial"/>
                <w:sz w:val="18"/>
                <w:szCs w:val="18"/>
              </w:rPr>
              <w:t>,</w:t>
            </w:r>
            <w:r>
              <w:rPr>
                <w:rFonts w:ascii="Arial" w:eastAsia="Calibri" w:hAnsi="Arial" w:cs="Times New Roman"/>
                <w:sz w:val="18"/>
              </w:rPr>
              <w:t xml:space="preserve"> либо такие отказы были обоснованными.</w:t>
            </w:r>
          </w:p>
          <w:p w:rsidR="00C81778" w:rsidRDefault="00AB0D4E" w:rsidP="00AB0D4E">
            <w:pPr>
              <w:widowControl w:val="0"/>
              <w:numPr>
                <w:ilvl w:val="0"/>
                <w:numId w:val="106"/>
              </w:numPr>
              <w:tabs>
                <w:tab w:val="left" w:pos="300"/>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 xml:space="preserve">В случаях, определенных информационной политикой </w:t>
            </w:r>
            <w:r>
              <w:rPr>
                <w:rFonts w:ascii="Arial" w:eastAsia="Calibri" w:hAnsi="Arial" w:cs="Arial"/>
                <w:sz w:val="18"/>
                <w:szCs w:val="18"/>
              </w:rPr>
              <w:t>Общества</w:t>
            </w:r>
            <w:r>
              <w:rPr>
                <w:rFonts w:ascii="Arial" w:eastAsia="Calibri" w:hAnsi="Arial" w:cs="Times New Roman"/>
                <w:sz w:val="18"/>
              </w:rPr>
              <w:t>, акционеры предупреждаются о конфиденциальном характере информации и принимают на себя обязанность по сохранению ее конфиденциальности</w:t>
            </w:r>
            <w:r>
              <w:rPr>
                <w:rFonts w:ascii="Arial" w:eastAsia="Calibri" w:hAnsi="Arial" w:cs="Arial"/>
                <w:sz w:val="18"/>
                <w:szCs w:val="18"/>
              </w:rPr>
              <w:t>.</w:t>
            </w:r>
          </w:p>
        </w:tc>
        <w:tc>
          <w:tcPr>
            <w:tcW w:w="2692" w:type="dxa"/>
            <w:shd w:val="clear" w:color="auto" w:fill="DBE5F1"/>
          </w:tcPr>
          <w:p w:rsidR="00C81778" w:rsidRDefault="00AB0D4E">
            <w:pPr>
              <w:widowControl w:val="0"/>
              <w:spacing w:after="200" w:line="276" w:lineRule="auto"/>
              <w:contextualSpacing/>
              <w:rPr>
                <w:rFonts w:ascii="Arial" w:eastAsia="Times New Roman" w:hAnsi="Arial" w:cs="Arial"/>
                <w:sz w:val="18"/>
                <w:szCs w:val="18"/>
              </w:rPr>
            </w:pPr>
            <w:r>
              <w:rPr>
                <w:rFonts w:ascii="Arial" w:eastAsia="Times New Roman" w:hAnsi="Arial" w:cs="Arial"/>
                <w:sz w:val="18"/>
                <w:szCs w:val="18"/>
              </w:rPr>
              <w:t>Соблюдается.</w:t>
            </w:r>
          </w:p>
          <w:p w:rsidR="00C81778" w:rsidRDefault="00C81778">
            <w:pPr>
              <w:widowControl w:val="0"/>
              <w:spacing w:after="200" w:line="276" w:lineRule="auto"/>
              <w:contextualSpacing/>
              <w:rPr>
                <w:rFonts w:ascii="Arial" w:eastAsia="Calibri" w:hAnsi="Arial" w:cs="Times New Roman"/>
                <w:sz w:val="18"/>
              </w:rPr>
            </w:pPr>
          </w:p>
        </w:tc>
        <w:tc>
          <w:tcPr>
            <w:tcW w:w="3966" w:type="dxa"/>
            <w:shd w:val="clear" w:color="auto" w:fill="DBE5F1"/>
          </w:tcPr>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Критерий 2: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7.1</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 xml:space="preserve">Действия, которые в значительной степени влияют или могут повлиять на структуру акционерного капитала и финансовое состояние </w:t>
            </w:r>
            <w:r>
              <w:rPr>
                <w:rFonts w:ascii="Arial" w:eastAsia="Calibri" w:hAnsi="Arial" w:cs="Arial"/>
                <w:b/>
                <w:sz w:val="18"/>
                <w:szCs w:val="18"/>
              </w:rPr>
              <w:t>Общества</w:t>
            </w:r>
            <w:r>
              <w:rPr>
                <w:rFonts w:ascii="Arial" w:eastAsia="Calibri" w:hAnsi="Arial" w:cs="Times New Roman"/>
                <w:b/>
                <w:sz w:val="18"/>
              </w:rPr>
              <w:t xml:space="preserve"> и, соответственно, на положение акционеров (существенные корпоративные действия), осуществляются на справедливых условиях, обеспечивающих соблюдение прав и интересов акционеров, а также иных заинтересованных сторон</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7.1.1</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Существенными корпоративными действиями признаются реорганизация </w:t>
            </w:r>
            <w:r>
              <w:rPr>
                <w:rFonts w:ascii="Arial" w:eastAsia="Calibri" w:hAnsi="Arial" w:cs="Arial"/>
                <w:sz w:val="18"/>
                <w:szCs w:val="18"/>
              </w:rPr>
              <w:t>Общества</w:t>
            </w:r>
            <w:r>
              <w:rPr>
                <w:rFonts w:ascii="Arial" w:eastAsia="Calibri" w:hAnsi="Arial" w:cs="Times New Roman"/>
                <w:sz w:val="18"/>
              </w:rPr>
              <w:t xml:space="preserve">, приобретение 30 и более процентов голосующих акций </w:t>
            </w:r>
            <w:r>
              <w:rPr>
                <w:rFonts w:ascii="Arial" w:eastAsia="Calibri" w:hAnsi="Arial" w:cs="Arial"/>
                <w:sz w:val="18"/>
                <w:szCs w:val="18"/>
              </w:rPr>
              <w:t>Общества</w:t>
            </w:r>
            <w:r>
              <w:rPr>
                <w:rFonts w:ascii="Arial" w:eastAsia="Calibri" w:hAnsi="Arial" w:cs="Times New Roman"/>
                <w:sz w:val="18"/>
              </w:rPr>
              <w:t xml:space="preserve"> (поглощение), совершение </w:t>
            </w:r>
            <w:r>
              <w:rPr>
                <w:rFonts w:ascii="Arial" w:eastAsia="Calibri" w:hAnsi="Arial" w:cs="Arial"/>
                <w:sz w:val="18"/>
                <w:szCs w:val="18"/>
              </w:rPr>
              <w:t>Обществом</w:t>
            </w:r>
            <w:r>
              <w:rPr>
                <w:rFonts w:ascii="Arial" w:eastAsia="Calibri" w:hAnsi="Arial" w:cs="Times New Roman"/>
                <w:sz w:val="18"/>
              </w:rPr>
              <w:t xml:space="preserve"> существенных сделок, увеличение или уменьшение уставного капитала </w:t>
            </w:r>
            <w:r>
              <w:rPr>
                <w:rFonts w:ascii="Arial" w:eastAsia="Calibri" w:hAnsi="Arial" w:cs="Arial"/>
                <w:sz w:val="18"/>
                <w:szCs w:val="18"/>
              </w:rPr>
              <w:t>Общества</w:t>
            </w:r>
            <w:r>
              <w:rPr>
                <w:rFonts w:ascii="Arial" w:eastAsia="Calibri" w:hAnsi="Arial" w:cs="Times New Roman"/>
                <w:sz w:val="18"/>
              </w:rPr>
              <w:t xml:space="preserve">, осуществление листинга и </w:t>
            </w:r>
            <w:proofErr w:type="spellStart"/>
            <w:r>
              <w:rPr>
                <w:rFonts w:ascii="Arial" w:eastAsia="Calibri" w:hAnsi="Arial" w:cs="Times New Roman"/>
                <w:sz w:val="18"/>
              </w:rPr>
              <w:t>делистинга</w:t>
            </w:r>
            <w:proofErr w:type="spellEnd"/>
            <w:r>
              <w:rPr>
                <w:rFonts w:ascii="Arial" w:eastAsia="Calibri" w:hAnsi="Arial" w:cs="Times New Roman"/>
                <w:sz w:val="18"/>
              </w:rPr>
              <w:t xml:space="preserve"> акций </w:t>
            </w:r>
            <w:r>
              <w:rPr>
                <w:rFonts w:ascii="Arial" w:eastAsia="Calibri" w:hAnsi="Arial" w:cs="Arial"/>
                <w:sz w:val="18"/>
                <w:szCs w:val="18"/>
              </w:rPr>
              <w:t>Общества</w:t>
            </w:r>
            <w:r>
              <w:rPr>
                <w:rFonts w:ascii="Arial" w:eastAsia="Calibri" w:hAnsi="Arial" w:cs="Times New Roman"/>
                <w:sz w:val="18"/>
              </w:rPr>
              <w:t xml:space="preserve">, а также иные действия, которые могут привести к существенному изменению прав акционеров или нарушению их интересов. Уставом </w:t>
            </w:r>
            <w:r>
              <w:rPr>
                <w:rFonts w:ascii="Arial" w:eastAsia="Calibri" w:hAnsi="Arial" w:cs="Arial"/>
                <w:sz w:val="18"/>
                <w:szCs w:val="18"/>
              </w:rPr>
              <w:t>Общества</w:t>
            </w:r>
            <w:r>
              <w:rPr>
                <w:rFonts w:ascii="Arial" w:eastAsia="Calibri" w:hAnsi="Arial" w:cs="Times New Roman"/>
                <w:sz w:val="18"/>
              </w:rPr>
              <w:t xml:space="preserve"> определен перечень </w:t>
            </w:r>
            <w:r>
              <w:rPr>
                <w:rFonts w:ascii="Arial" w:eastAsia="Calibri" w:hAnsi="Arial" w:cs="Times New Roman"/>
                <w:sz w:val="18"/>
              </w:rPr>
              <w:lastRenderedPageBreak/>
              <w:t xml:space="preserve">(критерии) сделок или иных действий, являющихся существенными корпоративными действиями, и такие действия отнесены к компетенции </w:t>
            </w:r>
            <w:r>
              <w:rPr>
                <w:rFonts w:ascii="Arial" w:eastAsia="Calibri" w:hAnsi="Arial" w:cs="Arial"/>
                <w:sz w:val="18"/>
                <w:szCs w:val="18"/>
              </w:rPr>
              <w:t>Совета</w:t>
            </w:r>
            <w:r>
              <w:rPr>
                <w:rFonts w:ascii="Arial" w:eastAsia="Calibri" w:hAnsi="Arial" w:cs="Times New Roman"/>
                <w:sz w:val="18"/>
              </w:rPr>
              <w:t xml:space="preserve"> директоров </w:t>
            </w:r>
            <w:r>
              <w:rPr>
                <w:rFonts w:ascii="Arial" w:eastAsia="Calibri" w:hAnsi="Arial" w:cs="Arial"/>
                <w:sz w:val="18"/>
                <w:szCs w:val="18"/>
              </w:rPr>
              <w:t>Общества.</w:t>
            </w:r>
          </w:p>
        </w:tc>
        <w:tc>
          <w:tcPr>
            <w:tcW w:w="3827" w:type="dxa"/>
            <w:shd w:val="clear" w:color="auto" w:fill="DBE5F1"/>
          </w:tcPr>
          <w:p w:rsidR="00C81778" w:rsidRDefault="00AB0D4E" w:rsidP="00AB0D4E">
            <w:pPr>
              <w:widowControl w:val="0"/>
              <w:numPr>
                <w:ilvl w:val="0"/>
                <w:numId w:val="107"/>
              </w:numPr>
              <w:tabs>
                <w:tab w:val="left" w:pos="27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lastRenderedPageBreak/>
              <w:t>Уставом Общества определен перечень (критерии) сделок или иных действий, являющихся существенными корпоративными действиями. Принятие решений в отношении существенных корпоративных действий Уставом Общества отнесено к компетенции Совета директоров. В тех случаях, когда осуществление данных корпоративных действий прямо отнесено законодательством к компетенции Общего собрания акционеров, Совет директоров предоставляет акционерам соответствующие рекомендации.</w:t>
            </w:r>
          </w:p>
        </w:tc>
        <w:tc>
          <w:tcPr>
            <w:tcW w:w="2692" w:type="dxa"/>
            <w:shd w:val="clear" w:color="auto" w:fill="DBE5F1"/>
          </w:tcPr>
          <w:p w:rsidR="00C81778" w:rsidRDefault="00AB0D4E">
            <w:pPr>
              <w:spacing w:after="200" w:line="276" w:lineRule="auto"/>
              <w:rPr>
                <w:rFonts w:ascii="Arial" w:eastAsia="Calibri" w:hAnsi="Arial" w:cs="Times New Roman"/>
                <w:sz w:val="18"/>
              </w:rPr>
            </w:pPr>
            <w:r>
              <w:rPr>
                <w:rFonts w:ascii="Arial" w:eastAsia="Times New Roman" w:hAnsi="Arial" w:cs="Arial"/>
                <w:sz w:val="18"/>
                <w:szCs w:val="18"/>
              </w:rPr>
              <w:t>Соблюдается.</w:t>
            </w:r>
          </w:p>
        </w:tc>
        <w:tc>
          <w:tcPr>
            <w:tcW w:w="3966"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7.1.2</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Совет директоров играет ключевую роль в принятии решений или выработке рекомендаций в отношении существенных корпоративных действий, </w:t>
            </w:r>
            <w:r>
              <w:rPr>
                <w:rFonts w:ascii="Arial" w:eastAsia="Times New Roman" w:hAnsi="Arial" w:cs="Arial"/>
                <w:sz w:val="18"/>
                <w:szCs w:val="18"/>
              </w:rPr>
              <w:t>Совет</w:t>
            </w:r>
            <w:r>
              <w:rPr>
                <w:rFonts w:ascii="Arial" w:eastAsia="Calibri" w:hAnsi="Arial" w:cs="Times New Roman"/>
                <w:sz w:val="18"/>
              </w:rPr>
              <w:t xml:space="preserve"> директоров опирается на позицию независимых директоров </w:t>
            </w:r>
            <w:r>
              <w:rPr>
                <w:rFonts w:ascii="Arial" w:eastAsia="Times New Roman" w:hAnsi="Arial" w:cs="Arial"/>
                <w:sz w:val="18"/>
                <w:szCs w:val="18"/>
              </w:rPr>
              <w:t>Общества.</w:t>
            </w:r>
          </w:p>
        </w:tc>
        <w:tc>
          <w:tcPr>
            <w:tcW w:w="3827" w:type="dxa"/>
          </w:tcPr>
          <w:p w:rsidR="00C81778" w:rsidRDefault="00AB0D4E" w:rsidP="00AB0D4E">
            <w:pPr>
              <w:widowControl w:val="0"/>
              <w:numPr>
                <w:ilvl w:val="0"/>
                <w:numId w:val="108"/>
              </w:numPr>
              <w:tabs>
                <w:tab w:val="left" w:pos="405"/>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В </w:t>
            </w:r>
            <w:r>
              <w:rPr>
                <w:rFonts w:ascii="Arial" w:eastAsia="Times New Roman" w:hAnsi="Arial" w:cs="Arial"/>
                <w:sz w:val="18"/>
                <w:szCs w:val="18"/>
              </w:rPr>
              <w:t>Обществе</w:t>
            </w:r>
            <w:r>
              <w:rPr>
                <w:rFonts w:ascii="Arial" w:eastAsia="Calibri" w:hAnsi="Arial" w:cs="Times New Roman"/>
                <w:sz w:val="18"/>
              </w:rPr>
              <w:t xml:space="preserve"> предусмотрена процедура, в соответствии с которой независимые директора заявляют о своей позиции по существенным корпоративным действиям до их одобрения</w:t>
            </w:r>
            <w:r>
              <w:rPr>
                <w:rFonts w:ascii="Arial" w:eastAsia="Times New Roman" w:hAnsi="Arial" w:cs="Arial"/>
                <w:sz w:val="18"/>
                <w:szCs w:val="18"/>
              </w:rPr>
              <w:t>.</w:t>
            </w:r>
          </w:p>
        </w:tc>
        <w:tc>
          <w:tcPr>
            <w:tcW w:w="2692" w:type="dxa"/>
          </w:tcPr>
          <w:p w:rsidR="00C81778" w:rsidRDefault="00AB0D4E">
            <w:pPr>
              <w:widowControl w:val="0"/>
              <w:spacing w:after="200" w:line="276" w:lineRule="auto"/>
              <w:contextualSpacing/>
              <w:rPr>
                <w:rFonts w:ascii="Arial" w:eastAsia="Calibri" w:hAnsi="Arial" w:cs="Times New Roman"/>
                <w:sz w:val="18"/>
              </w:rPr>
            </w:pPr>
            <w:r>
              <w:rPr>
                <w:rFonts w:ascii="Arial" w:eastAsia="Times New Roman" w:hAnsi="Arial" w:cs="Arial"/>
                <w:sz w:val="18"/>
                <w:szCs w:val="18"/>
              </w:rPr>
              <w:t>Частично соблюдается.</w:t>
            </w:r>
          </w:p>
        </w:tc>
        <w:tc>
          <w:tcPr>
            <w:tcW w:w="3966" w:type="dxa"/>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частично соблюдается.</w:t>
            </w:r>
          </w:p>
          <w:p w:rsidR="00C81778" w:rsidRDefault="00C81778">
            <w:pPr>
              <w:widowControl w:val="0"/>
              <w:spacing w:after="200" w:line="276" w:lineRule="auto"/>
              <w:contextualSpacing/>
              <w:jc w:val="both"/>
              <w:rPr>
                <w:rFonts w:ascii="Arial" w:eastAsia="Times New Roman" w:hAnsi="Arial" w:cs="Arial"/>
                <w:sz w:val="18"/>
                <w:szCs w:val="18"/>
              </w:rPr>
            </w:pPr>
          </w:p>
          <w:p w:rsidR="00C81778" w:rsidRDefault="00AB0D4E">
            <w:pPr>
              <w:widowControl w:val="0"/>
              <w:spacing w:after="200" w:line="276" w:lineRule="auto"/>
              <w:contextualSpacing/>
              <w:jc w:val="both"/>
              <w:rPr>
                <w:rFonts w:ascii="Arial" w:hAnsi="Arial" w:cs="Arial"/>
                <w:sz w:val="18"/>
                <w:szCs w:val="18"/>
              </w:rPr>
            </w:pPr>
            <w:r>
              <w:rPr>
                <w:rFonts w:ascii="Arial" w:eastAsia="Times New Roman" w:hAnsi="Arial" w:cs="Arial"/>
                <w:sz w:val="18"/>
                <w:szCs w:val="18"/>
              </w:rPr>
              <w:t>В настоящее время во внутренних документах Общества не регламентирована специальная процедура, в соответствии с которой независимые директора заявляют о своей позиции по существенным корпоративным действиям до их одобрения, но предусмотрено право каждого члена Совета директоров Общества направить свое особое мнение по любому вопросу повестки дня заседания Совета директоров Общества. Также, в связи с тем, что независимый директор входит в состав комитетов Совета директоров, он имеет возможность высказать свое мнение в рамках работы комитетов до проведения заседания Совета директоров.</w:t>
            </w:r>
            <w:r>
              <w:rPr>
                <w:rFonts w:ascii="Arial Narrow" w:eastAsia="Calibri" w:hAnsi="Arial Narrow" w:cs="Arial"/>
                <w:color w:val="000000"/>
                <w:spacing w:val="-4"/>
                <w:sz w:val="18"/>
                <w:szCs w:val="18"/>
                <w:lang w:eastAsia="ru-RU"/>
              </w:rPr>
              <w:t xml:space="preserve"> </w:t>
            </w:r>
            <w:r>
              <w:rPr>
                <w:rFonts w:ascii="Arial" w:eastAsia="Calibri" w:hAnsi="Arial" w:cs="Arial"/>
                <w:sz w:val="18"/>
                <w:szCs w:val="18"/>
              </w:rPr>
              <w:t>Кроме того, в ходе подготовки и во время проведения заседаний члены Совета директоров имеют возможность обмениваться мнениями высказывать свою позицию, в том числе при взаимодействии с Корпоративным секретарем Общества.</w:t>
            </w:r>
          </w:p>
          <w:p w:rsidR="00C81778" w:rsidRDefault="00AB0D4E">
            <w:pPr>
              <w:widowControl w:val="0"/>
              <w:spacing w:after="200" w:line="276" w:lineRule="auto"/>
              <w:contextualSpacing/>
              <w:jc w:val="both"/>
              <w:rPr>
                <w:rFonts w:ascii="Arial" w:eastAsia="Times New Roman" w:hAnsi="Arial" w:cs="Arial"/>
                <w:sz w:val="18"/>
                <w:szCs w:val="18"/>
              </w:rPr>
            </w:pPr>
            <w:r>
              <w:rPr>
                <w:rFonts w:ascii="Arial" w:eastAsia="Times New Roman" w:hAnsi="Arial" w:cs="Arial"/>
                <w:sz w:val="18"/>
                <w:szCs w:val="18"/>
              </w:rPr>
              <w:t>По мнению Общества, такой порядок дает возможность независимым директорам заявить о своей позиции по существенным корпоративным действиям до их одобрения. Кроме того, в связи с тем, что в отчетный период Общество не осуществляло существенных корпоративных действий, необходимости в проведении такой процедуры не было.</w:t>
            </w:r>
          </w:p>
          <w:p w:rsidR="00C81778" w:rsidRDefault="00AB0D4E">
            <w:pPr>
              <w:widowControl w:val="0"/>
              <w:spacing w:after="200" w:line="276" w:lineRule="auto"/>
              <w:contextualSpacing/>
              <w:jc w:val="both"/>
              <w:rPr>
                <w:rFonts w:ascii="Arial" w:eastAsia="Calibri" w:hAnsi="Arial" w:cs="Times New Roman"/>
                <w:sz w:val="18"/>
              </w:rPr>
            </w:pPr>
            <w:r>
              <w:rPr>
                <w:rFonts w:ascii="Arial" w:eastAsia="Times New Roman" w:hAnsi="Arial" w:cs="Arial"/>
                <w:sz w:val="18"/>
                <w:szCs w:val="18"/>
              </w:rPr>
              <w:t xml:space="preserve">Поскольку ПАО «ОГК-2» входит в Группу Газпром, управление в которой </w:t>
            </w:r>
            <w:r>
              <w:rPr>
                <w:rFonts w:ascii="Arial" w:eastAsia="Times New Roman" w:hAnsi="Arial" w:cs="Arial"/>
                <w:sz w:val="18"/>
                <w:szCs w:val="18"/>
              </w:rPr>
              <w:lastRenderedPageBreak/>
              <w:t>осуществляется по единым корпоративным стандартам, которым соответствует и действующий Устав ПАО «ОГК-2» и внутренние документы, регламентирующие работу Совета директоров Общества, в ближайшее время корректировка данных документов не планируется. В то же время Общество, в целях дальнейшего совершенствования корпоративного управления, а также при наличии запроса со стороны независимых директоров или других заинтересованных сторон, намерено продолжить в 2024 г. взаимодействие с основными акционерами в части приведения Устава/внутренних документов, регламентирующих работу Совета директоров Общества в соответствие с данным критерием.</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lastRenderedPageBreak/>
              <w:t>7.1.3</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При совершении существенных корпоративных действий, затрагивающих права и законные интересы акционеров, обеспечиваются равные условия для всех акционеров Общества, а при недостаточности предусмотренных законодательством механизмов, направленных на защиту прав акционеров – дополнительные меры, защищающие права и законные интересы акционеров Общества. При этом Общество руководствуется не только соблюдением формальных требований законодательства, но и принципами корпоративного управления, изложенными в Кодексе.</w:t>
            </w:r>
          </w:p>
        </w:tc>
        <w:tc>
          <w:tcPr>
            <w:tcW w:w="3827" w:type="dxa"/>
            <w:shd w:val="clear" w:color="auto" w:fill="DBE5F1"/>
          </w:tcPr>
          <w:p w:rsidR="00C81778" w:rsidRDefault="00AB0D4E" w:rsidP="00AB0D4E">
            <w:pPr>
              <w:widowControl w:val="0"/>
              <w:numPr>
                <w:ilvl w:val="0"/>
                <w:numId w:val="109"/>
              </w:numPr>
              <w:tabs>
                <w:tab w:val="left" w:pos="285"/>
              </w:tabs>
              <w:spacing w:after="0" w:line="240" w:lineRule="auto"/>
              <w:ind w:left="0" w:firstLine="0"/>
              <w:contextualSpacing/>
              <w:jc w:val="both"/>
              <w:rPr>
                <w:rFonts w:ascii="Arial" w:eastAsia="Calibri" w:hAnsi="Arial" w:cs="Times New Roman"/>
                <w:sz w:val="18"/>
              </w:rPr>
            </w:pPr>
            <w:r>
              <w:rPr>
                <w:rFonts w:ascii="Arial" w:eastAsia="Calibri" w:hAnsi="Arial" w:cs="Times New Roman"/>
                <w:sz w:val="18"/>
              </w:rPr>
              <w:t>Уставом Общества с учетом особенностей его деятельности к компетенции Совета директоров отнесено одобрение, помимо предусмотренных законодательством, иных сделок, имеющих существенное значение для Общества.</w:t>
            </w:r>
          </w:p>
          <w:p w:rsidR="00C81778" w:rsidRDefault="00AB0D4E" w:rsidP="00AB0D4E">
            <w:pPr>
              <w:widowControl w:val="0"/>
              <w:numPr>
                <w:ilvl w:val="0"/>
                <w:numId w:val="110"/>
              </w:numPr>
              <w:tabs>
                <w:tab w:val="left" w:pos="31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В течение отчетного периода все существенные корпоративные действия проходили процедуру одобрения до их осуществления</w:t>
            </w:r>
            <w:r>
              <w:rPr>
                <w:rFonts w:ascii="Arial" w:eastAsia="Calibri" w:hAnsi="Arial" w:cs="Arial"/>
                <w:sz w:val="18"/>
                <w:szCs w:val="18"/>
              </w:rPr>
              <w:t>.</w:t>
            </w:r>
          </w:p>
        </w:tc>
        <w:tc>
          <w:tcPr>
            <w:tcW w:w="2692" w:type="dxa"/>
            <w:shd w:val="clear" w:color="auto" w:fill="DBE5F1"/>
          </w:tcPr>
          <w:p w:rsidR="00C81778" w:rsidRDefault="00AB0D4E">
            <w:pPr>
              <w:widowControl w:val="0"/>
              <w:spacing w:after="0" w:line="240" w:lineRule="auto"/>
              <w:contextualSpacing/>
              <w:rPr>
                <w:rFonts w:ascii="Arial" w:eastAsia="Times New Roman" w:hAnsi="Arial" w:cs="Arial"/>
                <w:sz w:val="18"/>
                <w:szCs w:val="18"/>
              </w:rPr>
            </w:pPr>
            <w:r>
              <w:rPr>
                <w:rFonts w:ascii="Arial" w:eastAsia="Times New Roman" w:hAnsi="Arial" w:cs="Arial"/>
                <w:sz w:val="18"/>
                <w:szCs w:val="18"/>
              </w:rPr>
              <w:t>Соблюдается.</w:t>
            </w:r>
          </w:p>
          <w:p w:rsidR="00C81778" w:rsidRDefault="00C81778">
            <w:pPr>
              <w:widowControl w:val="0"/>
              <w:spacing w:after="0" w:line="240" w:lineRule="auto"/>
              <w:contextualSpacing/>
              <w:rPr>
                <w:rFonts w:ascii="Arial" w:eastAsia="Calibri" w:hAnsi="Arial" w:cs="Times New Roman"/>
                <w:sz w:val="18"/>
              </w:rPr>
            </w:pPr>
          </w:p>
        </w:tc>
        <w:tc>
          <w:tcPr>
            <w:tcW w:w="3966" w:type="dxa"/>
            <w:shd w:val="clear" w:color="auto" w:fill="DBE5F1"/>
          </w:tcPr>
          <w:p w:rsidR="00C81778" w:rsidRDefault="00AB0D4E">
            <w:pPr>
              <w:widowControl w:val="0"/>
              <w:spacing w:after="0" w:line="240" w:lineRule="auto"/>
              <w:contextualSpacing/>
              <w:rPr>
                <w:rFonts w:ascii="Arial" w:eastAsia="Calibri" w:hAnsi="Arial" w:cs="Arial"/>
                <w:sz w:val="18"/>
                <w:szCs w:val="18"/>
                <w:u w:val="single"/>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Критерий 2: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7.2</w:t>
            </w:r>
            <w:r>
              <w:rPr>
                <w:rFonts w:ascii="Arial" w:eastAsia="Calibri" w:hAnsi="Arial" w:cs="Arial"/>
                <w:b/>
                <w:bCs/>
                <w:sz w:val="18"/>
                <w:szCs w:val="18"/>
              </w:rPr>
              <w:t>.</w:t>
            </w:r>
          </w:p>
        </w:tc>
        <w:tc>
          <w:tcPr>
            <w:tcW w:w="14311" w:type="dxa"/>
            <w:gridSpan w:val="4"/>
          </w:tcPr>
          <w:p w:rsidR="00C81778" w:rsidRDefault="00AB0D4E">
            <w:pPr>
              <w:widowControl w:val="0"/>
              <w:spacing w:after="200" w:line="276" w:lineRule="auto"/>
              <w:contextualSpacing/>
              <w:rPr>
                <w:rFonts w:ascii="Arial" w:eastAsia="Calibri" w:hAnsi="Arial" w:cs="Times New Roman"/>
                <w:b/>
                <w:sz w:val="18"/>
              </w:rPr>
            </w:pPr>
            <w:r>
              <w:rPr>
                <w:rFonts w:ascii="Arial" w:eastAsia="Calibri" w:hAnsi="Arial" w:cs="Times New Roman"/>
                <w:b/>
                <w:sz w:val="18"/>
              </w:rPr>
              <w:t>Общество обеспечивает такой порядок совершения существенных корпоративных действий, который позволяет акционерам своевременно получать полную информацию о таких действиях, обеспечивает им возможность влиять на совершение таких действий и гарантирует соблюдение и адекватный уровень защиты их прав при совершении таких действий</w:t>
            </w:r>
            <w:r>
              <w:rPr>
                <w:rFonts w:ascii="Arial" w:eastAsia="Calibri" w:hAnsi="Arial" w:cs="Arial"/>
                <w:b/>
                <w:sz w:val="18"/>
                <w:szCs w:val="18"/>
              </w:rPr>
              <w:t>.</w:t>
            </w:r>
          </w:p>
        </w:tc>
      </w:tr>
      <w:tr w:rsidR="00C81778">
        <w:trPr>
          <w:trHeight w:val="60"/>
        </w:trPr>
        <w:tc>
          <w:tcPr>
            <w:tcW w:w="710"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7.2.1</w:t>
            </w:r>
            <w:r>
              <w:rPr>
                <w:rFonts w:ascii="Arial" w:eastAsia="Calibri" w:hAnsi="Arial" w:cs="Arial"/>
                <w:b/>
                <w:bCs/>
                <w:sz w:val="18"/>
                <w:szCs w:val="18"/>
              </w:rPr>
              <w:t>.</w:t>
            </w:r>
          </w:p>
        </w:tc>
        <w:tc>
          <w:tcPr>
            <w:tcW w:w="3826"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Информация о совершении существенных корпоративных действий раскрывается с объяснением причин, условий и </w:t>
            </w:r>
            <w:r>
              <w:rPr>
                <w:rFonts w:ascii="Arial" w:eastAsia="Calibri" w:hAnsi="Arial" w:cs="Times New Roman"/>
                <w:sz w:val="18"/>
              </w:rPr>
              <w:lastRenderedPageBreak/>
              <w:t>последствий совершения таких действий</w:t>
            </w:r>
            <w:r>
              <w:rPr>
                <w:rFonts w:ascii="Arial" w:eastAsia="Calibri" w:hAnsi="Arial" w:cs="Arial"/>
                <w:sz w:val="18"/>
                <w:szCs w:val="18"/>
              </w:rPr>
              <w:t>.</w:t>
            </w:r>
          </w:p>
        </w:tc>
        <w:tc>
          <w:tcPr>
            <w:tcW w:w="3827" w:type="dxa"/>
            <w:shd w:val="clear" w:color="auto" w:fill="DBE5F1"/>
          </w:tcPr>
          <w:p w:rsidR="00C81778" w:rsidRDefault="00AB0D4E" w:rsidP="00AB0D4E">
            <w:pPr>
              <w:widowControl w:val="0"/>
              <w:numPr>
                <w:ilvl w:val="0"/>
                <w:numId w:val="111"/>
              </w:numPr>
              <w:tabs>
                <w:tab w:val="left" w:pos="360"/>
              </w:tabs>
              <w:spacing w:after="0" w:line="240" w:lineRule="auto"/>
              <w:ind w:left="28" w:firstLine="0"/>
              <w:contextualSpacing/>
              <w:jc w:val="both"/>
              <w:rPr>
                <w:rFonts w:ascii="Arial" w:eastAsia="Calibri" w:hAnsi="Arial" w:cs="Times New Roman"/>
                <w:sz w:val="18"/>
              </w:rPr>
            </w:pPr>
            <w:r>
              <w:rPr>
                <w:rFonts w:ascii="Arial" w:eastAsia="Calibri" w:hAnsi="Arial" w:cs="Times New Roman"/>
                <w:sz w:val="18"/>
              </w:rPr>
              <w:lastRenderedPageBreak/>
              <w:t xml:space="preserve">В случае, если Обществом в течение отчетного периода совершались существенные корпоративные действия, Общество своевременно и детально </w:t>
            </w:r>
            <w:r>
              <w:rPr>
                <w:rFonts w:ascii="Arial" w:eastAsia="Calibri" w:hAnsi="Arial" w:cs="Times New Roman"/>
                <w:sz w:val="18"/>
              </w:rPr>
              <w:lastRenderedPageBreak/>
              <w:t>раскрывало информацию о таких действиях, в том числе о причинах, условиях совершения действий и последствиях таких действий для акционеров.</w:t>
            </w:r>
          </w:p>
        </w:tc>
        <w:tc>
          <w:tcPr>
            <w:tcW w:w="2692" w:type="dxa"/>
            <w:shd w:val="clear" w:color="auto" w:fill="DBE5F1"/>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Arial"/>
                <w:sz w:val="18"/>
                <w:szCs w:val="18"/>
              </w:rPr>
              <w:lastRenderedPageBreak/>
              <w:t>Соблюдается.</w:t>
            </w:r>
          </w:p>
        </w:tc>
        <w:tc>
          <w:tcPr>
            <w:tcW w:w="3966" w:type="dxa"/>
            <w:shd w:val="clear" w:color="auto" w:fill="DBE5F1"/>
          </w:tcPr>
          <w:p w:rsidR="00C81778" w:rsidRDefault="00AB0D4E">
            <w:pPr>
              <w:widowControl w:val="0"/>
              <w:spacing w:after="0" w:line="240" w:lineRule="auto"/>
              <w:contextualSpacing/>
              <w:rPr>
                <w:rFonts w:ascii="Arial" w:eastAsia="Calibri" w:hAnsi="Arial" w:cs="Times New Roman"/>
                <w:sz w:val="18"/>
              </w:rPr>
            </w:pPr>
            <w:r>
              <w:rPr>
                <w:rFonts w:ascii="Arial" w:eastAsia="Calibri" w:hAnsi="Arial" w:cs="Arial"/>
                <w:sz w:val="18"/>
                <w:szCs w:val="18"/>
                <w:u w:val="single"/>
              </w:rPr>
              <w:t xml:space="preserve">Критерий </w:t>
            </w:r>
            <w:r>
              <w:rPr>
                <w:rFonts w:ascii="Arial" w:eastAsia="Calibri" w:hAnsi="Arial" w:cs="Arial"/>
                <w:sz w:val="18"/>
                <w:szCs w:val="18"/>
                <w:u w:val="single"/>
                <w:lang w:val="en-US"/>
              </w:rPr>
              <w:t>1</w:t>
            </w:r>
            <w:r>
              <w:rPr>
                <w:rFonts w:ascii="Arial" w:eastAsia="Calibri" w:hAnsi="Arial" w:cs="Arial"/>
                <w:sz w:val="18"/>
                <w:szCs w:val="18"/>
                <w:u w:val="single"/>
              </w:rPr>
              <w:t>: соблюдается.</w:t>
            </w:r>
          </w:p>
        </w:tc>
      </w:tr>
      <w:tr w:rsidR="00C81778">
        <w:trPr>
          <w:trHeight w:val="60"/>
        </w:trPr>
        <w:tc>
          <w:tcPr>
            <w:tcW w:w="710"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b/>
                <w:bCs/>
                <w:sz w:val="18"/>
              </w:rPr>
              <w:t>7.2.2</w:t>
            </w:r>
            <w:r>
              <w:rPr>
                <w:rFonts w:ascii="Arial" w:eastAsia="Times New Roman" w:hAnsi="Arial" w:cs="Arial"/>
                <w:b/>
                <w:bCs/>
                <w:sz w:val="18"/>
                <w:szCs w:val="18"/>
              </w:rPr>
              <w:t>.</w:t>
            </w:r>
          </w:p>
        </w:tc>
        <w:tc>
          <w:tcPr>
            <w:tcW w:w="3826" w:type="dxa"/>
          </w:tcPr>
          <w:p w:rsidR="00C81778" w:rsidRDefault="00AB0D4E">
            <w:pPr>
              <w:widowControl w:val="0"/>
              <w:spacing w:after="200" w:line="276" w:lineRule="auto"/>
              <w:contextualSpacing/>
              <w:rPr>
                <w:rFonts w:ascii="Arial" w:eastAsia="Calibri" w:hAnsi="Arial" w:cs="Times New Roman"/>
                <w:sz w:val="18"/>
              </w:rPr>
            </w:pPr>
            <w:r>
              <w:rPr>
                <w:rFonts w:ascii="Arial" w:eastAsia="Calibri" w:hAnsi="Arial" w:cs="Times New Roman"/>
                <w:sz w:val="18"/>
              </w:rPr>
              <w:t xml:space="preserve">Правила и процедуры, связанные с осуществлением </w:t>
            </w:r>
            <w:r>
              <w:rPr>
                <w:rFonts w:ascii="Arial" w:eastAsia="Times New Roman" w:hAnsi="Arial" w:cs="Arial"/>
                <w:sz w:val="18"/>
                <w:szCs w:val="18"/>
              </w:rPr>
              <w:t>Обществом</w:t>
            </w:r>
            <w:r>
              <w:rPr>
                <w:rFonts w:ascii="Arial" w:eastAsia="Calibri" w:hAnsi="Arial" w:cs="Times New Roman"/>
                <w:sz w:val="18"/>
              </w:rPr>
              <w:t xml:space="preserve"> существенных корпоративных действий, закреплены во внутренних документах </w:t>
            </w:r>
            <w:r>
              <w:rPr>
                <w:rFonts w:ascii="Arial" w:eastAsia="Times New Roman" w:hAnsi="Arial" w:cs="Arial"/>
                <w:sz w:val="18"/>
                <w:szCs w:val="18"/>
              </w:rPr>
              <w:t>Общества.</w:t>
            </w:r>
          </w:p>
        </w:tc>
        <w:tc>
          <w:tcPr>
            <w:tcW w:w="3827" w:type="dxa"/>
          </w:tcPr>
          <w:p w:rsidR="00C81778" w:rsidRDefault="00AB0D4E" w:rsidP="00AB0D4E">
            <w:pPr>
              <w:widowControl w:val="0"/>
              <w:numPr>
                <w:ilvl w:val="0"/>
                <w:numId w:val="112"/>
              </w:numPr>
              <w:tabs>
                <w:tab w:val="left" w:pos="285"/>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Во внутренних документах Общества определены случаи и порядок привлечения оценщика для определения стоимости имущества, отчуждаемого или приобретаемого по крупной сделке или сделке с заинтересованностью.</w:t>
            </w:r>
          </w:p>
          <w:p w:rsidR="00C81778" w:rsidRDefault="00AB0D4E" w:rsidP="00AB0D4E">
            <w:pPr>
              <w:widowControl w:val="0"/>
              <w:numPr>
                <w:ilvl w:val="0"/>
                <w:numId w:val="113"/>
              </w:numPr>
              <w:tabs>
                <w:tab w:val="left" w:pos="270"/>
              </w:tabs>
              <w:spacing w:after="0" w:line="240" w:lineRule="auto"/>
              <w:ind w:left="28" w:hanging="28"/>
              <w:contextualSpacing/>
              <w:jc w:val="both"/>
              <w:rPr>
                <w:rFonts w:ascii="Arial" w:eastAsia="Calibri" w:hAnsi="Arial" w:cs="Times New Roman"/>
                <w:sz w:val="18"/>
              </w:rPr>
            </w:pPr>
            <w:r>
              <w:rPr>
                <w:rFonts w:ascii="Arial" w:eastAsia="Calibri" w:hAnsi="Arial" w:cs="Times New Roman"/>
                <w:sz w:val="18"/>
              </w:rPr>
              <w:t xml:space="preserve">Внутренние документы </w:t>
            </w:r>
            <w:r>
              <w:rPr>
                <w:rFonts w:ascii="Arial" w:eastAsia="Times New Roman" w:hAnsi="Arial" w:cs="Arial"/>
                <w:sz w:val="18"/>
                <w:szCs w:val="18"/>
              </w:rPr>
              <w:t>Общества</w:t>
            </w:r>
            <w:r>
              <w:rPr>
                <w:rFonts w:ascii="Arial" w:eastAsia="Calibri" w:hAnsi="Arial" w:cs="Times New Roman"/>
                <w:sz w:val="18"/>
              </w:rPr>
              <w:t xml:space="preserve"> предусматривают процедуру привлечения оценщика для оценки стоимости приобретения и выкупа акций </w:t>
            </w:r>
            <w:r>
              <w:rPr>
                <w:rFonts w:ascii="Arial" w:eastAsia="Times New Roman" w:hAnsi="Arial" w:cs="Arial"/>
                <w:sz w:val="18"/>
                <w:szCs w:val="18"/>
              </w:rPr>
              <w:t>Общества</w:t>
            </w:r>
            <w:r>
              <w:rPr>
                <w:rFonts w:ascii="Arial" w:eastAsia="Calibri" w:hAnsi="Arial" w:cs="Times New Roman"/>
                <w:sz w:val="18"/>
              </w:rPr>
              <w:t>.</w:t>
            </w:r>
          </w:p>
          <w:p w:rsidR="00C81778" w:rsidRDefault="00AB0D4E" w:rsidP="00AB0D4E">
            <w:pPr>
              <w:widowControl w:val="0"/>
              <w:numPr>
                <w:ilvl w:val="0"/>
                <w:numId w:val="114"/>
              </w:numPr>
              <w:tabs>
                <w:tab w:val="left" w:pos="345"/>
              </w:tabs>
              <w:spacing w:after="0" w:line="240" w:lineRule="auto"/>
              <w:ind w:left="0" w:firstLine="28"/>
              <w:contextualSpacing/>
              <w:jc w:val="both"/>
              <w:rPr>
                <w:rFonts w:ascii="Arial" w:eastAsia="Calibri" w:hAnsi="Arial" w:cs="Times New Roman"/>
                <w:sz w:val="18"/>
              </w:rPr>
            </w:pPr>
            <w:r>
              <w:rPr>
                <w:rFonts w:ascii="Arial" w:eastAsia="Calibri" w:hAnsi="Arial" w:cs="Times New Roman"/>
                <w:sz w:val="18"/>
              </w:rPr>
              <w:t>При отсутствии формальной заинтересованности члена Совета директоров, единоличного исполнительного органа, члена коллегиального исполнительного органа общества или лица, являющегося контролирующим лицом Общества, либо лица, имеющего право давать Обществу обязательные для него указания, в сделках Общества, но при наличии конфликта интересов или иной их фактической заинтересованности, внутренними документами Общества предусмотрено, что такие лица не принимают участия в голосовании по вопросу одобрения такой сделки.</w:t>
            </w:r>
          </w:p>
        </w:tc>
        <w:tc>
          <w:tcPr>
            <w:tcW w:w="2692" w:type="dxa"/>
          </w:tcPr>
          <w:p w:rsidR="00C81778" w:rsidRDefault="00AB0D4E">
            <w:pPr>
              <w:widowControl w:val="0"/>
              <w:spacing w:after="0" w:line="240" w:lineRule="auto"/>
              <w:contextualSpacing/>
              <w:rPr>
                <w:rFonts w:ascii="Arial" w:eastAsia="Times New Roman" w:hAnsi="Arial" w:cs="Arial"/>
                <w:sz w:val="18"/>
                <w:szCs w:val="18"/>
              </w:rPr>
            </w:pPr>
            <w:r>
              <w:rPr>
                <w:rFonts w:ascii="Arial" w:eastAsia="Times New Roman" w:hAnsi="Arial" w:cs="Arial"/>
                <w:sz w:val="18"/>
                <w:szCs w:val="18"/>
              </w:rPr>
              <w:t>Частично соблюдается.</w:t>
            </w:r>
          </w:p>
          <w:p w:rsidR="00C81778" w:rsidRDefault="00C81778">
            <w:pPr>
              <w:widowControl w:val="0"/>
              <w:spacing w:after="0" w:line="240" w:lineRule="auto"/>
              <w:ind w:left="357"/>
              <w:contextualSpacing/>
              <w:rPr>
                <w:rFonts w:ascii="Arial" w:eastAsia="Calibri" w:hAnsi="Arial" w:cs="Times New Roman"/>
                <w:sz w:val="18"/>
              </w:rPr>
            </w:pPr>
          </w:p>
        </w:tc>
        <w:tc>
          <w:tcPr>
            <w:tcW w:w="3966" w:type="dxa"/>
          </w:tcPr>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1: соблюдается.</w:t>
            </w:r>
          </w:p>
          <w:p w:rsidR="00C81778" w:rsidRDefault="00C81778">
            <w:pPr>
              <w:widowControl w:val="0"/>
              <w:spacing w:after="0" w:line="240" w:lineRule="auto"/>
              <w:contextualSpacing/>
              <w:rPr>
                <w:rFonts w:ascii="Arial" w:eastAsia="Times New Roman" w:hAnsi="Arial" w:cs="Arial"/>
                <w:sz w:val="18"/>
                <w:szCs w:val="18"/>
                <w:u w:val="single"/>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2: соблюдается.</w:t>
            </w:r>
          </w:p>
          <w:p w:rsidR="00C81778" w:rsidRDefault="00C81778">
            <w:pPr>
              <w:widowControl w:val="0"/>
              <w:spacing w:after="0" w:line="240" w:lineRule="auto"/>
              <w:contextualSpacing/>
              <w:rPr>
                <w:rFonts w:ascii="Arial" w:eastAsia="Times New Roman" w:hAnsi="Arial" w:cs="Arial"/>
                <w:sz w:val="18"/>
                <w:szCs w:val="18"/>
                <w:u w:val="single"/>
              </w:rPr>
            </w:pPr>
          </w:p>
          <w:p w:rsidR="00C81778" w:rsidRDefault="00AB0D4E">
            <w:pPr>
              <w:widowControl w:val="0"/>
              <w:spacing w:after="0" w:line="240" w:lineRule="auto"/>
              <w:contextualSpacing/>
              <w:rPr>
                <w:rFonts w:ascii="Arial" w:eastAsia="Times New Roman" w:hAnsi="Arial" w:cs="Arial"/>
                <w:sz w:val="18"/>
                <w:szCs w:val="18"/>
                <w:u w:val="single"/>
              </w:rPr>
            </w:pPr>
            <w:r>
              <w:rPr>
                <w:rFonts w:ascii="Arial" w:eastAsia="Times New Roman" w:hAnsi="Arial" w:cs="Arial"/>
                <w:sz w:val="18"/>
                <w:szCs w:val="18"/>
                <w:u w:val="single"/>
              </w:rPr>
              <w:t>Критерий 3: частично соблюдается.</w:t>
            </w:r>
          </w:p>
          <w:p w:rsidR="00C81778" w:rsidRDefault="00AB0D4E">
            <w:pPr>
              <w:widowControl w:val="0"/>
              <w:spacing w:after="200" w:line="276" w:lineRule="auto"/>
              <w:jc w:val="both"/>
              <w:rPr>
                <w:rFonts w:ascii="Arial" w:eastAsia="Calibri" w:hAnsi="Arial" w:cs="Times New Roman"/>
                <w:sz w:val="18"/>
              </w:rPr>
            </w:pPr>
            <w:r>
              <w:rPr>
                <w:rFonts w:ascii="Arial" w:eastAsia="Calibri" w:hAnsi="Arial" w:cs="Times New Roman"/>
                <w:sz w:val="18"/>
              </w:rPr>
              <w:t>При отсутствии формальной заинтересованности члена Совета директоров ПАО «ОГК-2», единоличного исполнительного органа Общества или лица, являющегося контролирующим лицом Общества в сделках Общества, но при наличии конфликта интересов или иной их фактической заинтересованности, внутренними документами Общества не предусмотрено, что такие лица не принимают участия в голосовании по вопросу одобрения такой сделки.</w:t>
            </w:r>
          </w:p>
          <w:p w:rsidR="00C81778" w:rsidRDefault="00AB0D4E" w:rsidP="00D518D9">
            <w:pPr>
              <w:widowControl w:val="0"/>
              <w:spacing w:after="200" w:line="276" w:lineRule="auto"/>
              <w:jc w:val="both"/>
              <w:rPr>
                <w:rFonts w:ascii="Arial" w:eastAsia="Calibri" w:hAnsi="Arial" w:cs="Times New Roman"/>
                <w:sz w:val="18"/>
              </w:rPr>
            </w:pPr>
            <w:r>
              <w:rPr>
                <w:rFonts w:ascii="Arial" w:eastAsia="Times New Roman" w:hAnsi="Arial" w:cs="Arial"/>
                <w:sz w:val="18"/>
                <w:szCs w:val="18"/>
              </w:rPr>
              <w:t xml:space="preserve">При определении наличия заинтересованности </w:t>
            </w:r>
            <w:r>
              <w:rPr>
                <w:rFonts w:ascii="Arial" w:eastAsia="Calibri" w:hAnsi="Arial" w:cs="Times New Roman"/>
                <w:sz w:val="18"/>
              </w:rPr>
              <w:t>члена Совета директоров ПАО «ОГК-2»</w:t>
            </w:r>
            <w:r>
              <w:rPr>
                <w:rFonts w:ascii="Arial" w:eastAsia="Times New Roman" w:hAnsi="Arial" w:cs="Arial"/>
                <w:sz w:val="18"/>
                <w:szCs w:val="18"/>
              </w:rPr>
              <w:t xml:space="preserve">, </w:t>
            </w:r>
            <w:r>
              <w:rPr>
                <w:rFonts w:ascii="Arial" w:eastAsia="Calibri" w:hAnsi="Arial" w:cs="Times New Roman"/>
                <w:sz w:val="18"/>
              </w:rPr>
              <w:t>единоличного исполнительного органа или лица, являющегося контролирующим лицом Общества, в сделках Общества, Общество</w:t>
            </w:r>
            <w:r>
              <w:rPr>
                <w:rFonts w:ascii="Arial" w:eastAsia="Times New Roman" w:hAnsi="Arial" w:cs="Arial"/>
                <w:sz w:val="18"/>
                <w:szCs w:val="18"/>
              </w:rPr>
              <w:t xml:space="preserve"> руководствуется требованиями ФЗ «Об Акционерных обществах» содержащего исчерпывающий перечень оснований, согласно которым члены Совета директоров признаются заинтересованными в совершении сделок и не могут участвовать в голосовании по одобрению таких сделок.</w:t>
            </w:r>
            <w:r w:rsidR="00D518D9">
              <w:rPr>
                <w:rFonts w:ascii="Arial" w:eastAsia="Times New Roman" w:hAnsi="Arial" w:cs="Arial"/>
                <w:sz w:val="18"/>
                <w:szCs w:val="18"/>
              </w:rPr>
              <w:t xml:space="preserve"> </w:t>
            </w:r>
            <w:r>
              <w:rPr>
                <w:rFonts w:ascii="Arial" w:eastAsia="Calibri" w:hAnsi="Arial" w:cs="Arial"/>
                <w:sz w:val="18"/>
                <w:szCs w:val="18"/>
              </w:rPr>
              <w:t xml:space="preserve">Кроме того, в качестве альтернативных мер, Положение о Совете директоров предусматривает право каждого члена Совета директоров воздержаться от голосования по вопросу, по которому у него </w:t>
            </w:r>
            <w:r>
              <w:rPr>
                <w:rFonts w:ascii="Arial" w:eastAsia="Calibri" w:hAnsi="Arial" w:cs="Arial"/>
                <w:sz w:val="18"/>
                <w:szCs w:val="18"/>
              </w:rPr>
              <w:lastRenderedPageBreak/>
              <w:t>имеется конфликт интересов.</w:t>
            </w:r>
            <w:r w:rsidR="00D518D9">
              <w:rPr>
                <w:rFonts w:ascii="Arial" w:eastAsia="Calibri" w:hAnsi="Arial" w:cs="Arial"/>
                <w:sz w:val="18"/>
                <w:szCs w:val="18"/>
              </w:rPr>
              <w:t xml:space="preserve"> </w:t>
            </w:r>
            <w:r>
              <w:rPr>
                <w:rFonts w:ascii="Arial" w:eastAsia="Calibri" w:hAnsi="Arial" w:cs="Arial"/>
                <w:sz w:val="18"/>
                <w:szCs w:val="18"/>
              </w:rPr>
              <w:t>Председатель Совета директоров в случаях, когда того требует характер обсуждаемого вопроса либо специфика конфликта интересов, вправе предложить члену Совета директоров, имеющему конфликт интересов, не присутствовать при обсуждении соответствующего вопроса.</w:t>
            </w:r>
            <w:r w:rsidR="00D518D9">
              <w:rPr>
                <w:rFonts w:ascii="Arial" w:eastAsia="Calibri" w:hAnsi="Arial" w:cs="Arial"/>
                <w:sz w:val="18"/>
                <w:szCs w:val="18"/>
              </w:rPr>
              <w:t xml:space="preserve"> </w:t>
            </w:r>
            <w:r>
              <w:rPr>
                <w:rFonts w:ascii="Arial" w:eastAsia="Times New Roman" w:hAnsi="Arial" w:cs="Arial"/>
                <w:sz w:val="18"/>
                <w:szCs w:val="18"/>
              </w:rPr>
              <w:t>Общество не планирует закреплять императивное требование отказываться от голосования по любому вопросу, в котором у члена Совета директоров, единоличного исполнительного органа или лица, являющегося контролирующим лицом Общества, либо лица, имеющего право давать Обществу обязательные для него указания, есть конфликт интересов. Существующая практика «мягкого» регулирования, по мнению Общества, достаточна для исключения рисков возникновения конфликта интересов и в полной мере соответствует подходу Кодекса корпоративного управления, рекомендованного к применению Банком России.</w:t>
            </w:r>
          </w:p>
        </w:tc>
      </w:tr>
    </w:tbl>
    <w:p w:rsidR="00C81778" w:rsidRDefault="00C81778">
      <w:pPr>
        <w:pStyle w:val="1"/>
        <w:keepLines/>
        <w:spacing w:after="0" w:line="276" w:lineRule="auto"/>
        <w:jc w:val="left"/>
        <w:rPr>
          <w:rFonts w:asciiTheme="minorHAnsi" w:eastAsiaTheme="majorEastAsia" w:hAnsiTheme="minorHAnsi" w:cstheme="minorHAnsi"/>
          <w:color w:val="2F5496" w:themeColor="accent1" w:themeShade="BF"/>
          <w:sz w:val="22"/>
          <w:szCs w:val="22"/>
          <w:lang w:val="ru-RU" w:eastAsia="ru-RU"/>
        </w:rPr>
      </w:pPr>
    </w:p>
    <w:p w:rsidR="004373C8" w:rsidRDefault="004373C8" w:rsidP="004373C8">
      <w:pPr>
        <w:pStyle w:val="a2"/>
        <w:rPr>
          <w:rFonts w:eastAsiaTheme="majorEastAsia"/>
        </w:rPr>
      </w:pPr>
    </w:p>
    <w:p w:rsidR="004373C8" w:rsidRDefault="004373C8" w:rsidP="004373C8">
      <w:pPr>
        <w:pStyle w:val="a2"/>
        <w:rPr>
          <w:rFonts w:eastAsiaTheme="majorEastAsia"/>
        </w:rPr>
      </w:pPr>
    </w:p>
    <w:p w:rsidR="004373C8" w:rsidRDefault="004373C8" w:rsidP="004373C8">
      <w:pPr>
        <w:pStyle w:val="a2"/>
        <w:rPr>
          <w:rFonts w:eastAsiaTheme="majorEastAsia"/>
        </w:rPr>
      </w:pPr>
    </w:p>
    <w:p w:rsidR="004373C8" w:rsidRDefault="004373C8" w:rsidP="004373C8">
      <w:pPr>
        <w:pStyle w:val="a2"/>
        <w:rPr>
          <w:rFonts w:eastAsiaTheme="majorEastAsia"/>
        </w:rPr>
      </w:pPr>
    </w:p>
    <w:p w:rsidR="004373C8" w:rsidRDefault="004373C8" w:rsidP="004373C8">
      <w:pPr>
        <w:pStyle w:val="a2"/>
        <w:rPr>
          <w:rFonts w:eastAsiaTheme="majorEastAsia"/>
        </w:rPr>
      </w:pPr>
    </w:p>
    <w:p w:rsidR="004373C8" w:rsidRDefault="004373C8" w:rsidP="004373C8">
      <w:pPr>
        <w:pStyle w:val="a2"/>
        <w:rPr>
          <w:rFonts w:eastAsiaTheme="majorEastAsia"/>
        </w:rPr>
      </w:pPr>
    </w:p>
    <w:p w:rsidR="004373C8" w:rsidRPr="004373C8" w:rsidRDefault="004373C8" w:rsidP="004373C8">
      <w:pPr>
        <w:pStyle w:val="a2"/>
        <w:rPr>
          <w:rFonts w:eastAsiaTheme="majorEastAsia"/>
        </w:rPr>
      </w:pPr>
    </w:p>
    <w:p w:rsidR="00C81778" w:rsidRDefault="00AB0D4E">
      <w:pPr>
        <w:spacing w:after="0" w:line="240" w:lineRule="auto"/>
        <w:jc w:val="both"/>
        <w:rPr>
          <w:rFonts w:eastAsiaTheme="majorEastAsia" w:cstheme="minorHAnsi"/>
          <w:b/>
          <w:bCs/>
          <w:caps/>
          <w:color w:val="2F5496" w:themeColor="accent1" w:themeShade="BF"/>
          <w:lang w:eastAsia="ru-RU"/>
        </w:rPr>
      </w:pPr>
      <w:r>
        <w:rPr>
          <w:rFonts w:eastAsiaTheme="majorEastAsia" w:cstheme="minorHAnsi"/>
          <w:b/>
          <w:bCs/>
          <w:caps/>
          <w:color w:val="2F5496" w:themeColor="accent1" w:themeShade="BF"/>
          <w:lang w:eastAsia="ru-RU"/>
        </w:rPr>
        <w:lastRenderedPageBreak/>
        <w:t>5. Приложения</w:t>
      </w:r>
    </w:p>
    <w:p w:rsidR="00C81778" w:rsidRDefault="00C81778">
      <w:pPr>
        <w:spacing w:after="0" w:line="240" w:lineRule="auto"/>
        <w:jc w:val="both"/>
        <w:rPr>
          <w:rFonts w:eastAsia="Times New Roman" w:cstheme="minorHAnsi"/>
          <w:b/>
          <w:bCs/>
          <w:lang w:eastAsia="ru-RU"/>
        </w:rPr>
      </w:pPr>
    </w:p>
    <w:p w:rsidR="00C81778" w:rsidRDefault="00AB0D4E">
      <w:pPr>
        <w:spacing w:after="0" w:line="240" w:lineRule="auto"/>
        <w:jc w:val="both"/>
        <w:rPr>
          <w:sz w:val="24"/>
          <w:szCs w:val="24"/>
        </w:rPr>
      </w:pPr>
      <w:r>
        <w:rPr>
          <w:rFonts w:eastAsia="Times New Roman" w:cstheme="minorHAnsi"/>
          <w:b/>
          <w:bCs/>
          <w:sz w:val="24"/>
          <w:szCs w:val="24"/>
          <w:lang w:eastAsia="ru-RU"/>
        </w:rPr>
        <w:t xml:space="preserve">Отчет о совершенных (заключенных) ПАО «ОГК-2» в 2023 году крупных сделках </w:t>
      </w:r>
    </w:p>
    <w:p w:rsidR="00C81778" w:rsidRDefault="00AB0D4E">
      <w:pPr>
        <w:pStyle w:val="a2"/>
        <w:rPr>
          <w:rFonts w:asciiTheme="minorHAnsi" w:eastAsiaTheme="majorEastAsia" w:hAnsiTheme="minorHAnsi" w:cstheme="minorHAnsi"/>
          <w:sz w:val="22"/>
          <w:szCs w:val="22"/>
        </w:rPr>
      </w:pPr>
      <w:r>
        <w:rPr>
          <w:rFonts w:asciiTheme="minorHAnsi" w:eastAsiaTheme="majorEastAsia" w:hAnsiTheme="minorHAnsi" w:cstheme="minorHAnsi"/>
          <w:color w:val="000000"/>
          <w:sz w:val="22"/>
          <w:szCs w:val="22"/>
        </w:rPr>
        <w:t xml:space="preserve">В течение 2023 года Обществом не совершались (заключались) крупные сделки. </w:t>
      </w:r>
    </w:p>
    <w:p w:rsidR="00C81778" w:rsidRDefault="00AB0D4E">
      <w:pPr>
        <w:pStyle w:val="1"/>
        <w:spacing w:after="0" w:line="276" w:lineRule="auto"/>
        <w:jc w:val="left"/>
        <w:rPr>
          <w:rFonts w:asciiTheme="minorHAnsi" w:eastAsiaTheme="majorEastAsia" w:hAnsiTheme="minorHAnsi" w:cstheme="minorHAnsi"/>
          <w:color w:val="2F5496" w:themeColor="accent1" w:themeShade="BF"/>
          <w:sz w:val="22"/>
          <w:szCs w:val="22"/>
          <w:lang w:val="ru-RU" w:eastAsia="ru-RU"/>
        </w:rPr>
      </w:pPr>
      <w:bookmarkStart w:id="42" w:name="_Toc131707827"/>
      <w:r>
        <w:rPr>
          <w:rFonts w:asciiTheme="minorHAnsi" w:eastAsiaTheme="majorEastAsia" w:hAnsiTheme="minorHAnsi" w:cstheme="minorHAnsi"/>
          <w:color w:val="2F5496" w:themeColor="accent1" w:themeShade="BF"/>
          <w:sz w:val="22"/>
          <w:szCs w:val="22"/>
          <w:lang w:val="ru-RU" w:eastAsia="ru-RU"/>
        </w:rPr>
        <w:t>6. Полезные ссылки</w:t>
      </w:r>
      <w:bookmarkEnd w:id="42"/>
    </w:p>
    <w:p w:rsidR="00C81778" w:rsidRDefault="00AB0D4E">
      <w:pPr>
        <w:spacing w:after="0" w:line="240" w:lineRule="auto"/>
        <w:rPr>
          <w:rFonts w:cstheme="minorHAnsi"/>
        </w:rPr>
      </w:pPr>
      <w:r>
        <w:rPr>
          <w:rFonts w:cstheme="minorHAnsi"/>
        </w:rPr>
        <w:t>Сайт ПАО «Газпром»</w:t>
      </w:r>
    </w:p>
    <w:p w:rsidR="00C81778" w:rsidRDefault="000F711E">
      <w:pPr>
        <w:spacing w:after="0" w:line="240" w:lineRule="auto"/>
        <w:rPr>
          <w:rFonts w:cstheme="minorHAnsi"/>
          <w:lang w:eastAsia="ru-RU"/>
        </w:rPr>
      </w:pPr>
      <w:hyperlink r:id="rId39" w:tooltip="https://www.gazprom.ru/" w:history="1">
        <w:r w:rsidR="00AB0D4E">
          <w:rPr>
            <w:rStyle w:val="af8"/>
            <w:rFonts w:cstheme="minorHAnsi"/>
            <w:lang w:eastAsia="ru-RU"/>
          </w:rPr>
          <w:t>https://www.gazprom.ru/</w:t>
        </w:r>
      </w:hyperlink>
      <w:r w:rsidR="00AB0D4E">
        <w:rPr>
          <w:rFonts w:cstheme="minorHAnsi"/>
          <w:lang w:eastAsia="ru-RU"/>
        </w:rPr>
        <w:t xml:space="preserve"> </w:t>
      </w:r>
    </w:p>
    <w:p w:rsidR="00C81778" w:rsidRDefault="00AB0D4E">
      <w:pPr>
        <w:spacing w:after="0" w:line="240" w:lineRule="auto"/>
        <w:rPr>
          <w:rFonts w:cstheme="minorHAnsi"/>
          <w:lang w:eastAsia="ru-RU"/>
        </w:rPr>
      </w:pPr>
      <w:r>
        <w:rPr>
          <w:rFonts w:cstheme="minorHAnsi"/>
        </w:rPr>
        <w:t xml:space="preserve">Сайт ООО «Газпром </w:t>
      </w:r>
      <w:proofErr w:type="spellStart"/>
      <w:r>
        <w:rPr>
          <w:rFonts w:cstheme="minorHAnsi"/>
        </w:rPr>
        <w:t>энергохолдинг</w:t>
      </w:r>
      <w:proofErr w:type="spellEnd"/>
      <w:r>
        <w:rPr>
          <w:rFonts w:cstheme="minorHAnsi"/>
        </w:rPr>
        <w:t>»</w:t>
      </w:r>
    </w:p>
    <w:p w:rsidR="00C81778" w:rsidRDefault="000F711E">
      <w:pPr>
        <w:spacing w:after="0" w:line="240" w:lineRule="auto"/>
        <w:rPr>
          <w:rFonts w:cstheme="minorHAnsi"/>
          <w:lang w:eastAsia="ru-RU"/>
        </w:rPr>
      </w:pPr>
      <w:hyperlink r:id="rId40" w:tooltip="https://energoholding.gazprom.ru/" w:history="1">
        <w:r w:rsidR="00AB0D4E">
          <w:rPr>
            <w:rStyle w:val="af8"/>
            <w:rFonts w:cstheme="minorHAnsi"/>
            <w:lang w:eastAsia="ru-RU"/>
          </w:rPr>
          <w:t>https://energoholding.gazprom.ru/</w:t>
        </w:r>
      </w:hyperlink>
      <w:r w:rsidR="00AB0D4E">
        <w:rPr>
          <w:rFonts w:cstheme="minorHAnsi"/>
          <w:lang w:eastAsia="ru-RU"/>
        </w:rPr>
        <w:t xml:space="preserve"> </w:t>
      </w:r>
    </w:p>
    <w:p w:rsidR="00C81778" w:rsidRDefault="00AB0D4E">
      <w:pPr>
        <w:spacing w:after="0" w:line="240" w:lineRule="auto"/>
        <w:rPr>
          <w:rFonts w:cstheme="minorHAnsi"/>
        </w:rPr>
      </w:pPr>
      <w:r>
        <w:rPr>
          <w:rFonts w:cstheme="minorHAnsi"/>
        </w:rPr>
        <w:t>Сайт ПАО «ОГК-2»</w:t>
      </w:r>
    </w:p>
    <w:p w:rsidR="00C81778" w:rsidRDefault="000F711E">
      <w:pPr>
        <w:spacing w:after="0" w:line="240" w:lineRule="auto"/>
        <w:rPr>
          <w:rFonts w:cstheme="minorHAnsi"/>
          <w:lang w:eastAsia="ru-RU"/>
        </w:rPr>
      </w:pPr>
      <w:hyperlink r:id="rId41" w:tooltip="https://www.ogk2.ru/" w:history="1">
        <w:r w:rsidR="00AB0D4E">
          <w:rPr>
            <w:rStyle w:val="af8"/>
            <w:rFonts w:cstheme="minorHAnsi"/>
            <w:lang w:eastAsia="ru-RU"/>
          </w:rPr>
          <w:t>https://www.ogk2.ru/</w:t>
        </w:r>
      </w:hyperlink>
      <w:r w:rsidR="00AB0D4E">
        <w:rPr>
          <w:rFonts w:cstheme="minorHAnsi"/>
          <w:lang w:eastAsia="ru-RU"/>
        </w:rPr>
        <w:t xml:space="preserve">  </w:t>
      </w:r>
    </w:p>
    <w:p w:rsidR="00C81778" w:rsidRDefault="00AB0D4E">
      <w:pPr>
        <w:spacing w:after="0" w:line="240" w:lineRule="auto"/>
        <w:rPr>
          <w:rFonts w:cstheme="minorHAnsi"/>
          <w:lang w:eastAsia="ru-RU"/>
        </w:rPr>
      </w:pPr>
      <w:r>
        <w:rPr>
          <w:rFonts w:cstheme="minorHAnsi"/>
          <w:lang w:eastAsia="ru-RU"/>
        </w:rPr>
        <w:t>Отчетность</w:t>
      </w:r>
    </w:p>
    <w:p w:rsidR="00C81778" w:rsidRDefault="000F711E">
      <w:pPr>
        <w:spacing w:after="0" w:line="240" w:lineRule="auto"/>
        <w:rPr>
          <w:rFonts w:cstheme="minorHAnsi"/>
          <w:lang w:eastAsia="ru-RU"/>
        </w:rPr>
      </w:pPr>
      <w:hyperlink r:id="rId42" w:tooltip="https://www.ogk2.ru/aktsioneram-i-investoram/otchetnost/" w:history="1">
        <w:r w:rsidR="00AB0D4E">
          <w:rPr>
            <w:rStyle w:val="af8"/>
            <w:rFonts w:cstheme="minorHAnsi"/>
            <w:lang w:eastAsia="ru-RU"/>
          </w:rPr>
          <w:t>https://www.ogk2.ru/aktsioneram-i-investoram/otchetnost/</w:t>
        </w:r>
      </w:hyperlink>
      <w:r w:rsidR="00AB0D4E">
        <w:rPr>
          <w:rFonts w:cstheme="minorHAnsi"/>
          <w:lang w:eastAsia="ru-RU"/>
        </w:rPr>
        <w:t xml:space="preserve"> </w:t>
      </w:r>
    </w:p>
    <w:p w:rsidR="00C81778" w:rsidRDefault="00C81778">
      <w:pPr>
        <w:spacing w:after="0" w:line="240" w:lineRule="auto"/>
        <w:rPr>
          <w:rFonts w:cstheme="minorHAnsi"/>
          <w:lang w:eastAsia="ru-RU"/>
        </w:rPr>
      </w:pPr>
    </w:p>
    <w:p w:rsidR="00C81778" w:rsidRDefault="00AB0D4E">
      <w:pPr>
        <w:pStyle w:val="1"/>
        <w:keepLines/>
        <w:spacing w:after="0" w:line="276" w:lineRule="auto"/>
        <w:jc w:val="left"/>
        <w:rPr>
          <w:rFonts w:asciiTheme="minorHAnsi" w:eastAsiaTheme="majorEastAsia" w:hAnsiTheme="minorHAnsi" w:cstheme="minorHAnsi"/>
          <w:color w:val="2F5496" w:themeColor="accent1" w:themeShade="BF"/>
          <w:sz w:val="22"/>
          <w:szCs w:val="22"/>
          <w:lang w:val="ru-RU" w:eastAsia="ru-RU"/>
        </w:rPr>
      </w:pPr>
      <w:bookmarkStart w:id="43" w:name="_Toc131707828"/>
      <w:r>
        <w:rPr>
          <w:rFonts w:asciiTheme="minorHAnsi" w:eastAsiaTheme="majorEastAsia" w:hAnsiTheme="minorHAnsi" w:cstheme="minorHAnsi"/>
          <w:color w:val="2F5496" w:themeColor="accent1" w:themeShade="BF"/>
          <w:sz w:val="22"/>
          <w:szCs w:val="22"/>
          <w:lang w:val="ru-RU" w:eastAsia="ru-RU"/>
        </w:rPr>
        <w:t>7. Глоссарий и контакты</w:t>
      </w:r>
      <w:bookmarkEnd w:id="43"/>
    </w:p>
    <w:tbl>
      <w:tblPr>
        <w:tblW w:w="9634" w:type="dxa"/>
        <w:tblLayout w:type="fixed"/>
        <w:tblLook w:val="04A0" w:firstRow="1" w:lastRow="0" w:firstColumn="1" w:lastColumn="0" w:noHBand="0" w:noVBand="1"/>
      </w:tblPr>
      <w:tblGrid>
        <w:gridCol w:w="5382"/>
        <w:gridCol w:w="4252"/>
      </w:tblGrid>
      <w:tr w:rsidR="00C81778">
        <w:tc>
          <w:tcPr>
            <w:tcW w:w="5381" w:type="dxa"/>
          </w:tcPr>
          <w:p w:rsidR="00C81778" w:rsidRDefault="00AB0D4E">
            <w:pPr>
              <w:spacing w:before="120" w:after="0" w:line="240" w:lineRule="auto"/>
              <w:rPr>
                <w:rFonts w:cstheme="minorHAnsi"/>
              </w:rPr>
            </w:pPr>
            <w:r>
              <w:rPr>
                <w:rFonts w:eastAsia="Calibri" w:cstheme="minorHAnsi"/>
                <w:lang w:val="en-US"/>
              </w:rPr>
              <w:t>free</w:t>
            </w:r>
            <w:r>
              <w:rPr>
                <w:rFonts w:eastAsia="Calibri" w:cstheme="minorHAnsi"/>
              </w:rPr>
              <w:t>-</w:t>
            </w:r>
            <w:r>
              <w:rPr>
                <w:rFonts w:eastAsia="Calibri" w:cstheme="minorHAnsi"/>
                <w:lang w:val="en-US"/>
              </w:rPr>
              <w:t>float</w:t>
            </w:r>
            <w:r>
              <w:rPr>
                <w:rFonts w:eastAsia="Calibri" w:cstheme="minorHAnsi"/>
              </w:rPr>
              <w:t xml:space="preserve"> – акции, находящиеся в свободном обращении</w:t>
            </w:r>
          </w:p>
          <w:p w:rsidR="00C81778" w:rsidRDefault="00C81778">
            <w:pPr>
              <w:spacing w:before="120" w:after="0" w:line="240" w:lineRule="auto"/>
              <w:rPr>
                <w:rFonts w:cstheme="minorHAnsi"/>
              </w:rPr>
            </w:pPr>
          </w:p>
        </w:tc>
        <w:tc>
          <w:tcPr>
            <w:tcW w:w="4252" w:type="dxa"/>
          </w:tcPr>
          <w:p w:rsidR="00C81778" w:rsidRDefault="00AB0D4E">
            <w:pPr>
              <w:spacing w:before="120" w:after="0" w:line="240" w:lineRule="auto"/>
              <w:rPr>
                <w:rFonts w:cstheme="minorHAnsi"/>
              </w:rPr>
            </w:pPr>
            <w:r>
              <w:rPr>
                <w:rFonts w:eastAsia="Calibri" w:cstheme="minorHAnsi"/>
              </w:rPr>
              <w:t>ГРЭС – государственная районная электрическая станция</w:t>
            </w:r>
          </w:p>
          <w:p w:rsidR="00C81778" w:rsidRDefault="00AB0D4E">
            <w:pPr>
              <w:spacing w:before="120" w:after="0" w:line="240" w:lineRule="auto"/>
              <w:rPr>
                <w:rFonts w:cstheme="minorHAnsi"/>
              </w:rPr>
            </w:pPr>
            <w:r>
              <w:rPr>
                <w:rFonts w:eastAsia="Calibri" w:cstheme="minorHAnsi"/>
              </w:rPr>
              <w:t>ДПМ - договор о предоставлении мощности</w:t>
            </w:r>
          </w:p>
          <w:p w:rsidR="00C81778" w:rsidRDefault="00AB0D4E">
            <w:pPr>
              <w:spacing w:before="120" w:after="0" w:line="240" w:lineRule="auto"/>
              <w:rPr>
                <w:rFonts w:cstheme="minorHAnsi"/>
              </w:rPr>
            </w:pPr>
            <w:r>
              <w:rPr>
                <w:rFonts w:eastAsia="Calibri" w:cstheme="minorHAnsi"/>
              </w:rPr>
              <w:t>ЕЭС – единая энергетическая систем России</w:t>
            </w:r>
          </w:p>
          <w:p w:rsidR="00C81778" w:rsidRDefault="00AB0D4E">
            <w:pPr>
              <w:spacing w:before="120" w:after="0" w:line="240" w:lineRule="auto"/>
              <w:rPr>
                <w:rFonts w:cstheme="minorHAnsi"/>
              </w:rPr>
            </w:pPr>
            <w:r>
              <w:rPr>
                <w:rFonts w:eastAsia="Calibri" w:cstheme="minorHAnsi"/>
              </w:rPr>
              <w:t>КИУМ – коэффициент использования установленной мощности</w:t>
            </w:r>
          </w:p>
          <w:p w:rsidR="00C81778" w:rsidRDefault="00AB0D4E">
            <w:pPr>
              <w:spacing w:before="120" w:after="0" w:line="240" w:lineRule="auto"/>
              <w:rPr>
                <w:rFonts w:cstheme="minorHAnsi"/>
              </w:rPr>
            </w:pPr>
            <w:r>
              <w:rPr>
                <w:rFonts w:eastAsia="Calibri" w:cstheme="minorHAnsi"/>
              </w:rPr>
              <w:t>МСФО – международные стандарты финансовой отчетности</w:t>
            </w:r>
          </w:p>
          <w:p w:rsidR="00C81778" w:rsidRDefault="00AB0D4E">
            <w:pPr>
              <w:spacing w:before="120" w:after="0" w:line="240" w:lineRule="auto"/>
              <w:rPr>
                <w:rFonts w:cstheme="minorHAnsi"/>
              </w:rPr>
            </w:pPr>
            <w:r>
              <w:rPr>
                <w:rFonts w:eastAsia="Calibri" w:cstheme="minorHAnsi"/>
              </w:rPr>
              <w:t>ПГУ – парогазовая установка</w:t>
            </w:r>
          </w:p>
          <w:p w:rsidR="00C81778" w:rsidRDefault="00AB0D4E">
            <w:pPr>
              <w:spacing w:before="120" w:after="0" w:line="240" w:lineRule="auto"/>
              <w:rPr>
                <w:rFonts w:cstheme="minorHAnsi"/>
              </w:rPr>
            </w:pPr>
            <w:r>
              <w:rPr>
                <w:rFonts w:eastAsia="Calibri" w:cstheme="minorHAnsi"/>
              </w:rPr>
              <w:t>РСБУ – российские стандарты бухгалтерского учета</w:t>
            </w:r>
          </w:p>
          <w:p w:rsidR="00C81778" w:rsidRDefault="00AB0D4E">
            <w:pPr>
              <w:spacing w:before="120" w:after="0" w:line="240" w:lineRule="auto"/>
              <w:rPr>
                <w:rFonts w:cstheme="minorHAnsi"/>
              </w:rPr>
            </w:pPr>
            <w:r>
              <w:rPr>
                <w:rFonts w:eastAsia="Calibri" w:cstheme="minorHAnsi"/>
              </w:rPr>
              <w:t>ТЭС – тепловая электрическая станция</w:t>
            </w:r>
          </w:p>
          <w:p w:rsidR="00C81778" w:rsidRDefault="00AB0D4E">
            <w:pPr>
              <w:spacing w:before="120" w:after="0" w:line="240" w:lineRule="auto"/>
              <w:rPr>
                <w:rFonts w:cstheme="minorHAnsi"/>
              </w:rPr>
            </w:pPr>
            <w:r>
              <w:rPr>
                <w:rFonts w:eastAsia="Calibri" w:cstheme="minorHAnsi"/>
              </w:rPr>
              <w:lastRenderedPageBreak/>
              <w:t>УРУТ – удельный расход условного топлива</w:t>
            </w:r>
          </w:p>
        </w:tc>
      </w:tr>
    </w:tbl>
    <w:p w:rsidR="00C81778" w:rsidRDefault="00AB0D4E">
      <w:pPr>
        <w:spacing w:before="120"/>
        <w:jc w:val="both"/>
        <w:rPr>
          <w:rFonts w:cstheme="minorHAnsi"/>
          <w:b/>
          <w:bCs/>
          <w:i/>
          <w:iCs/>
        </w:rPr>
      </w:pPr>
      <w:r>
        <w:rPr>
          <w:rFonts w:cstheme="minorHAnsi"/>
          <w:b/>
          <w:bCs/>
          <w:i/>
          <w:iCs/>
        </w:rPr>
        <w:lastRenderedPageBreak/>
        <w:t xml:space="preserve">Единицы измерения </w:t>
      </w:r>
    </w:p>
    <w:tbl>
      <w:tblPr>
        <w:tblW w:w="9634" w:type="dxa"/>
        <w:tblLayout w:type="fixed"/>
        <w:tblLook w:val="04A0" w:firstRow="1" w:lastRow="0" w:firstColumn="1" w:lastColumn="0" w:noHBand="0" w:noVBand="1"/>
      </w:tblPr>
      <w:tblGrid>
        <w:gridCol w:w="5382"/>
        <w:gridCol w:w="4252"/>
      </w:tblGrid>
      <w:tr w:rsidR="00C81778">
        <w:tc>
          <w:tcPr>
            <w:tcW w:w="5381" w:type="dxa"/>
          </w:tcPr>
          <w:p w:rsidR="00C81778" w:rsidRDefault="00AB0D4E">
            <w:pPr>
              <w:spacing w:after="0" w:line="240" w:lineRule="auto"/>
              <w:rPr>
                <w:rFonts w:cstheme="minorHAnsi"/>
              </w:rPr>
            </w:pPr>
            <w:r>
              <w:rPr>
                <w:rFonts w:eastAsia="Calibri" w:cstheme="minorHAnsi"/>
              </w:rPr>
              <w:t xml:space="preserve">Гкал – </w:t>
            </w:r>
            <w:proofErr w:type="spellStart"/>
            <w:r>
              <w:rPr>
                <w:rFonts w:eastAsia="Calibri" w:cstheme="minorHAnsi"/>
              </w:rPr>
              <w:t>Гигакалория</w:t>
            </w:r>
            <w:proofErr w:type="spellEnd"/>
            <w:r>
              <w:rPr>
                <w:rFonts w:eastAsia="Calibri" w:cstheme="minorHAnsi"/>
              </w:rPr>
              <w:t xml:space="preserve"> – единица измерения тепловой энергии</w:t>
            </w:r>
          </w:p>
          <w:p w:rsidR="00C81778" w:rsidRDefault="00AB0D4E">
            <w:pPr>
              <w:spacing w:after="0" w:line="240" w:lineRule="auto"/>
              <w:rPr>
                <w:rFonts w:cstheme="minorHAnsi"/>
              </w:rPr>
            </w:pPr>
            <w:r>
              <w:rPr>
                <w:rFonts w:eastAsia="Calibri" w:cstheme="minorHAnsi"/>
              </w:rPr>
              <w:t>Гкал/ч (</w:t>
            </w:r>
            <w:proofErr w:type="spellStart"/>
            <w:r>
              <w:rPr>
                <w:rFonts w:eastAsia="Calibri" w:cstheme="minorHAnsi"/>
              </w:rPr>
              <w:t>Гкал·ч</w:t>
            </w:r>
            <w:proofErr w:type="spellEnd"/>
            <w:r>
              <w:rPr>
                <w:rFonts w:eastAsia="Calibri" w:cstheme="minorHAnsi"/>
              </w:rPr>
              <w:t xml:space="preserve">) – </w:t>
            </w:r>
            <w:proofErr w:type="spellStart"/>
            <w:r>
              <w:rPr>
                <w:rFonts w:eastAsia="Calibri" w:cstheme="minorHAnsi"/>
              </w:rPr>
              <w:t>Гигакалория</w:t>
            </w:r>
            <w:proofErr w:type="spellEnd"/>
            <w:r>
              <w:rPr>
                <w:rFonts w:eastAsia="Calibri" w:cstheme="minorHAnsi"/>
              </w:rPr>
              <w:t xml:space="preserve"> в час – Единица измерения тепловой мощности</w:t>
            </w:r>
          </w:p>
          <w:p w:rsidR="00C81778" w:rsidRDefault="00AB0D4E">
            <w:pPr>
              <w:spacing w:after="0" w:line="240" w:lineRule="auto"/>
              <w:rPr>
                <w:rFonts w:cstheme="minorHAnsi"/>
              </w:rPr>
            </w:pPr>
            <w:proofErr w:type="spellStart"/>
            <w:r>
              <w:rPr>
                <w:rFonts w:eastAsia="Calibri" w:cstheme="minorHAnsi"/>
              </w:rPr>
              <w:t>кВ</w:t>
            </w:r>
            <w:proofErr w:type="spellEnd"/>
            <w:r>
              <w:rPr>
                <w:rFonts w:eastAsia="Calibri" w:cstheme="minorHAnsi"/>
              </w:rPr>
              <w:t xml:space="preserve"> – Киловольт – Единица измерения электрического напряжения</w:t>
            </w:r>
          </w:p>
        </w:tc>
        <w:tc>
          <w:tcPr>
            <w:tcW w:w="4252" w:type="dxa"/>
          </w:tcPr>
          <w:p w:rsidR="00C81778" w:rsidRDefault="00AB0D4E">
            <w:pPr>
              <w:spacing w:after="0" w:line="240" w:lineRule="auto"/>
              <w:rPr>
                <w:rFonts w:cstheme="minorHAnsi"/>
              </w:rPr>
            </w:pPr>
            <w:proofErr w:type="spellStart"/>
            <w:r>
              <w:rPr>
                <w:rFonts w:eastAsia="Calibri" w:cstheme="minorHAnsi"/>
              </w:rPr>
              <w:t>кВт∙ч</w:t>
            </w:r>
            <w:proofErr w:type="spellEnd"/>
            <w:r>
              <w:rPr>
                <w:rFonts w:eastAsia="Calibri" w:cstheme="minorHAnsi"/>
              </w:rPr>
              <w:t xml:space="preserve"> – Киловатт-час – Единица измерения электрической энергии</w:t>
            </w:r>
          </w:p>
          <w:p w:rsidR="00C81778" w:rsidRDefault="00AB0D4E">
            <w:pPr>
              <w:spacing w:after="0" w:line="240" w:lineRule="auto"/>
              <w:rPr>
                <w:rFonts w:cstheme="minorHAnsi"/>
              </w:rPr>
            </w:pPr>
            <w:r>
              <w:rPr>
                <w:rFonts w:eastAsia="Calibri" w:cstheme="minorHAnsi"/>
              </w:rPr>
              <w:t>МВт – Мегаватт – Единица измерения электрической мощности</w:t>
            </w:r>
          </w:p>
        </w:tc>
      </w:tr>
    </w:tbl>
    <w:p w:rsidR="00C81778" w:rsidRDefault="00C81778">
      <w:pPr>
        <w:rPr>
          <w:rFonts w:cstheme="minorHAnsi"/>
        </w:rPr>
      </w:pPr>
    </w:p>
    <w:p w:rsidR="00C81778" w:rsidRDefault="00AB0D4E">
      <w:pPr>
        <w:spacing w:before="120" w:after="0" w:line="240" w:lineRule="auto"/>
        <w:jc w:val="both"/>
        <w:rPr>
          <w:rFonts w:cstheme="minorHAnsi"/>
          <w:b/>
          <w:bCs/>
        </w:rPr>
      </w:pPr>
      <w:r>
        <w:rPr>
          <w:rFonts w:cstheme="minorHAnsi"/>
          <w:b/>
          <w:bCs/>
          <w:i/>
          <w:iCs/>
        </w:rPr>
        <w:t>Контактные лица для акционеров и инвесторов</w:t>
      </w:r>
    </w:p>
    <w:p w:rsidR="00C81778" w:rsidRDefault="00AB0D4E">
      <w:pPr>
        <w:spacing w:before="120" w:after="0" w:line="240" w:lineRule="auto"/>
        <w:rPr>
          <w:rFonts w:cstheme="minorHAnsi"/>
        </w:rPr>
      </w:pPr>
      <w:r>
        <w:rPr>
          <w:rFonts w:cstheme="minorHAnsi"/>
          <w:b/>
          <w:bCs/>
        </w:rPr>
        <w:t>Егорова Елена Николаевна</w:t>
      </w:r>
      <w:r>
        <w:rPr>
          <w:rFonts w:cstheme="minorHAnsi"/>
        </w:rPr>
        <w:t xml:space="preserve"> (Начальник Управления корпоративных и имущественных отношений):</w:t>
      </w:r>
    </w:p>
    <w:p w:rsidR="00C81778" w:rsidRDefault="00AB0D4E">
      <w:pPr>
        <w:spacing w:before="120" w:after="0" w:line="240" w:lineRule="auto"/>
        <w:rPr>
          <w:rFonts w:cstheme="minorHAnsi"/>
          <w:lang w:val="it-IT"/>
        </w:rPr>
      </w:pPr>
      <w:r>
        <w:rPr>
          <w:rFonts w:cstheme="minorHAnsi"/>
        </w:rPr>
        <w:t>Тел</w:t>
      </w:r>
      <w:r>
        <w:rPr>
          <w:rFonts w:cstheme="minorHAnsi"/>
          <w:lang w:val="it-IT"/>
        </w:rPr>
        <w:t>./</w:t>
      </w:r>
      <w:r>
        <w:rPr>
          <w:rFonts w:cstheme="minorHAnsi"/>
        </w:rPr>
        <w:t>Факс</w:t>
      </w:r>
      <w:r>
        <w:rPr>
          <w:rFonts w:cstheme="minorHAnsi"/>
          <w:lang w:val="it-IT"/>
        </w:rPr>
        <w:t>: (</w:t>
      </w:r>
      <w:r>
        <w:rPr>
          <w:rFonts w:cstheme="minorHAnsi"/>
        </w:rPr>
        <w:t>812</w:t>
      </w:r>
      <w:r>
        <w:rPr>
          <w:rFonts w:cstheme="minorHAnsi"/>
          <w:lang w:val="it-IT"/>
        </w:rPr>
        <w:t xml:space="preserve">) </w:t>
      </w:r>
      <w:r>
        <w:rPr>
          <w:rFonts w:cstheme="minorHAnsi"/>
        </w:rPr>
        <w:t>646</w:t>
      </w:r>
      <w:r>
        <w:rPr>
          <w:rFonts w:cstheme="minorHAnsi"/>
          <w:lang w:val="it-IT"/>
        </w:rPr>
        <w:t>-</w:t>
      </w:r>
      <w:r>
        <w:rPr>
          <w:rFonts w:cstheme="minorHAnsi"/>
        </w:rPr>
        <w:t>13-64</w:t>
      </w:r>
      <w:r>
        <w:rPr>
          <w:rFonts w:cstheme="minorHAnsi"/>
          <w:lang w:val="it-IT"/>
        </w:rPr>
        <w:t xml:space="preserve">, e-mail: </w:t>
      </w:r>
      <w:hyperlink r:id="rId43" w:tooltip="mailto:EgorovaEN@ogk2.ru" w:history="1">
        <w:r>
          <w:rPr>
            <w:rStyle w:val="af8"/>
            <w:rFonts w:cstheme="minorHAnsi"/>
          </w:rPr>
          <w:t>EgorovaEN@ogk2.ru</w:t>
        </w:r>
      </w:hyperlink>
    </w:p>
    <w:p w:rsidR="00C81778" w:rsidRDefault="00AB0D4E">
      <w:pPr>
        <w:spacing w:before="120" w:after="0" w:line="240" w:lineRule="auto"/>
        <w:rPr>
          <w:rFonts w:cstheme="minorHAnsi"/>
        </w:rPr>
      </w:pPr>
      <w:r>
        <w:rPr>
          <w:rFonts w:cstheme="minorHAnsi"/>
          <w:b/>
          <w:bCs/>
        </w:rPr>
        <w:t>Гризель Наталья Олеговна</w:t>
      </w:r>
      <w:r>
        <w:rPr>
          <w:rFonts w:cstheme="minorHAnsi"/>
        </w:rPr>
        <w:t xml:space="preserve"> (Начальник отдела корпоративного управления):</w:t>
      </w:r>
    </w:p>
    <w:p w:rsidR="00C81778" w:rsidRDefault="00AB0D4E">
      <w:pPr>
        <w:spacing w:before="120" w:after="0" w:line="240" w:lineRule="auto"/>
        <w:jc w:val="both"/>
        <w:rPr>
          <w:rFonts w:cstheme="minorHAnsi"/>
        </w:rPr>
      </w:pPr>
      <w:r>
        <w:rPr>
          <w:rFonts w:cstheme="minorHAnsi"/>
        </w:rPr>
        <w:t>Тел</w:t>
      </w:r>
      <w:r>
        <w:rPr>
          <w:rFonts w:cstheme="minorHAnsi"/>
          <w:lang w:val="it-IT"/>
        </w:rPr>
        <w:t>./</w:t>
      </w:r>
      <w:r>
        <w:rPr>
          <w:rFonts w:cstheme="minorHAnsi"/>
        </w:rPr>
        <w:t>Факс</w:t>
      </w:r>
      <w:r>
        <w:rPr>
          <w:rFonts w:cstheme="minorHAnsi"/>
          <w:lang w:val="it-IT"/>
        </w:rPr>
        <w:t>: (</w:t>
      </w:r>
      <w:r>
        <w:rPr>
          <w:rFonts w:cstheme="minorHAnsi"/>
        </w:rPr>
        <w:t>812</w:t>
      </w:r>
      <w:r>
        <w:rPr>
          <w:rFonts w:cstheme="minorHAnsi"/>
          <w:lang w:val="it-IT"/>
        </w:rPr>
        <w:t xml:space="preserve">) </w:t>
      </w:r>
      <w:r>
        <w:rPr>
          <w:rFonts w:cstheme="minorHAnsi"/>
        </w:rPr>
        <w:t>646</w:t>
      </w:r>
      <w:r>
        <w:rPr>
          <w:rFonts w:cstheme="minorHAnsi"/>
          <w:lang w:val="it-IT"/>
        </w:rPr>
        <w:t>-</w:t>
      </w:r>
      <w:r>
        <w:rPr>
          <w:rFonts w:cstheme="minorHAnsi"/>
        </w:rPr>
        <w:t>13-64</w:t>
      </w:r>
      <w:r>
        <w:rPr>
          <w:rFonts w:cstheme="minorHAnsi"/>
          <w:lang w:val="it-IT"/>
        </w:rPr>
        <w:t xml:space="preserve">, e-mail: </w:t>
      </w:r>
      <w:hyperlink r:id="rId44" w:tooltip="mailto:Grizel.Natalya@ogk2.ru" w:history="1">
        <w:r>
          <w:rPr>
            <w:rStyle w:val="af8"/>
            <w:rFonts w:cstheme="minorHAnsi"/>
            <w:lang w:val="it-IT"/>
          </w:rPr>
          <w:t>Grizel.Natalya@ogk2.ru</w:t>
        </w:r>
      </w:hyperlink>
      <w:r>
        <w:rPr>
          <w:rFonts w:cstheme="minorHAnsi"/>
        </w:rPr>
        <w:t xml:space="preserve"> </w:t>
      </w:r>
    </w:p>
    <w:p w:rsidR="00C81778" w:rsidRDefault="00AB0D4E">
      <w:pPr>
        <w:spacing w:before="120" w:after="0" w:line="240" w:lineRule="auto"/>
        <w:rPr>
          <w:rFonts w:cstheme="minorHAnsi"/>
        </w:rPr>
      </w:pPr>
      <w:r>
        <w:rPr>
          <w:rFonts w:cstheme="minorHAnsi"/>
          <w:b/>
          <w:bCs/>
          <w:i/>
          <w:iCs/>
        </w:rPr>
        <w:t>Контактные лица для СМИ</w:t>
      </w:r>
    </w:p>
    <w:p w:rsidR="00C81778" w:rsidRDefault="00AB0D4E">
      <w:pPr>
        <w:spacing w:before="120" w:after="0" w:line="240" w:lineRule="auto"/>
        <w:rPr>
          <w:rFonts w:cstheme="minorHAnsi"/>
        </w:rPr>
      </w:pPr>
      <w:r>
        <w:rPr>
          <w:rFonts w:cstheme="minorHAnsi"/>
          <w:b/>
          <w:bCs/>
        </w:rPr>
        <w:t>Тихонов Вадим Евгеньевич</w:t>
      </w:r>
      <w:r>
        <w:rPr>
          <w:rFonts w:cstheme="minorHAnsi"/>
        </w:rPr>
        <w:t xml:space="preserve"> (Пресс-секретарь):</w:t>
      </w:r>
    </w:p>
    <w:p w:rsidR="00C81778" w:rsidRDefault="00AB0D4E">
      <w:pPr>
        <w:spacing w:before="120" w:after="0" w:line="240" w:lineRule="auto"/>
        <w:rPr>
          <w:rFonts w:cstheme="minorHAnsi"/>
          <w:lang w:val="en-US"/>
        </w:rPr>
      </w:pPr>
      <w:r>
        <w:rPr>
          <w:rFonts w:cstheme="minorHAnsi"/>
        </w:rPr>
        <w:t>Тел</w:t>
      </w:r>
      <w:r>
        <w:rPr>
          <w:rFonts w:cstheme="minorHAnsi"/>
          <w:lang w:val="it-IT"/>
        </w:rPr>
        <w:t>.: (</w:t>
      </w:r>
      <w:r>
        <w:rPr>
          <w:rFonts w:cstheme="minorHAnsi"/>
          <w:lang w:val="fr-FR"/>
        </w:rPr>
        <w:t>812</w:t>
      </w:r>
      <w:r>
        <w:rPr>
          <w:rFonts w:cstheme="minorHAnsi"/>
          <w:lang w:val="it-IT"/>
        </w:rPr>
        <w:t xml:space="preserve">) </w:t>
      </w:r>
      <w:r>
        <w:rPr>
          <w:rFonts w:cstheme="minorHAnsi"/>
          <w:lang w:val="fr-FR"/>
        </w:rPr>
        <w:t>646</w:t>
      </w:r>
      <w:r>
        <w:rPr>
          <w:rFonts w:cstheme="minorHAnsi"/>
          <w:lang w:val="it-IT"/>
        </w:rPr>
        <w:t>-</w:t>
      </w:r>
      <w:r>
        <w:rPr>
          <w:rFonts w:cstheme="minorHAnsi"/>
          <w:lang w:val="fr-FR"/>
        </w:rPr>
        <w:t>13-</w:t>
      </w:r>
      <w:r>
        <w:rPr>
          <w:rFonts w:cstheme="minorHAnsi"/>
          <w:lang w:val="en-US"/>
        </w:rPr>
        <w:t>84</w:t>
      </w:r>
      <w:r>
        <w:rPr>
          <w:rFonts w:cstheme="minorHAnsi"/>
          <w:lang w:val="it-IT"/>
        </w:rPr>
        <w:t xml:space="preserve">, e-mail: </w:t>
      </w:r>
      <w:r>
        <w:rPr>
          <w:rFonts w:cstheme="minorHAnsi"/>
          <w:lang w:val="en-US"/>
        </w:rPr>
        <w:t>Tikhonov.Vadim@ogk2.ru</w:t>
      </w:r>
    </w:p>
    <w:sectPr w:rsidR="00C81778">
      <w:footerReference w:type="default" r:id="rId45"/>
      <w:footerReference w:type="first" r:id="rId46"/>
      <w:pgSz w:w="16838" w:h="11906" w:orient="landscape"/>
      <w:pgMar w:top="850" w:right="1134" w:bottom="1418" w:left="1134" w:header="0" w:footer="708" w:gutter="0"/>
      <w:cols w:space="170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1778" w:rsidRDefault="00AB0D4E">
      <w:pPr>
        <w:spacing w:after="0" w:line="240" w:lineRule="auto"/>
      </w:pPr>
      <w:r>
        <w:separator/>
      </w:r>
    </w:p>
  </w:endnote>
  <w:endnote w:type="continuationSeparator" w:id="0">
    <w:p w:rsidR="00C81778" w:rsidRDefault="00AB0D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yriad Pro">
    <w:charset w:val="00"/>
    <w:family w:val="auto"/>
    <w:pitch w:val="default"/>
  </w:font>
  <w:font w:name="Consolas">
    <w:panose1 w:val="020B0609020204030204"/>
    <w:charset w:val="CC"/>
    <w:family w:val="modern"/>
    <w:pitch w:val="fixed"/>
    <w:sig w:usb0="E00006FF" w:usb1="0000FCFF" w:usb2="00000001" w:usb3="00000000" w:csb0="0000019F" w:csb1="00000000"/>
  </w:font>
  <w:font w:name="PF Agora Sans Pro">
    <w:charset w:val="00"/>
    <w:family w:val="auto"/>
    <w:pitch w:val="default"/>
  </w:font>
  <w:font w:name="PT Sans">
    <w:charset w:val="00"/>
    <w:family w:val="auto"/>
    <w:pitch w:val="default"/>
  </w:font>
  <w:font w:name="Arial Narrow">
    <w:panose1 w:val="020B0606020202030204"/>
    <w:charset w:val="CC"/>
    <w:family w:val="swiss"/>
    <w:pitch w:val="variable"/>
    <w:sig w:usb0="00000287" w:usb1="00000800" w:usb2="00000000" w:usb3="00000000" w:csb0="0000009F" w:csb1="00000000"/>
  </w:font>
  <w:font w:name="HeliosC">
    <w:charset w:val="00"/>
    <w:family w:val="auto"/>
    <w:pitch w:val="default"/>
  </w:font>
  <w:font w:name="Gilroy">
    <w:charset w:val="00"/>
    <w:family w:val="auto"/>
    <w:pitch w:val="default"/>
  </w:font>
  <w:font w:name="Open Sans">
    <w:charset w:val="00"/>
    <w:family w:val="auto"/>
    <w:pitch w:val="default"/>
  </w:font>
  <w:font w:name="WenQuanYi Micro Hei">
    <w:charset w:val="00"/>
    <w:family w:val="auto"/>
    <w:pitch w:val="default"/>
  </w:font>
  <w:font w:name="Lohit Devanagari">
    <w:altName w:val="Arial"/>
    <w:charset w:val="00"/>
    <w:family w:val="auto"/>
    <w:pitch w:val="default"/>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bat-Bold">
    <w:charset w:val="00"/>
    <w:family w:val="auto"/>
    <w:pitch w:val="default"/>
  </w:font>
  <w:font w:name="Pragmatica">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Univers 45 Light">
    <w:charset w:val="00"/>
    <w:family w:val="auto"/>
    <w:pitch w:val="default"/>
  </w:font>
  <w:font w:name="Times">
    <w:panose1 w:val="02020603050405020304"/>
    <w:charset w:val="00"/>
    <w:family w:val="auto"/>
    <w:pitch w:val="default"/>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OfficinaSansBookC">
    <w:charset w:val="00"/>
    <w:family w:val="auto"/>
    <w:pitch w:val="default"/>
  </w:font>
  <w:font w:name="HeliosLightC">
    <w:charset w:val="00"/>
    <w:family w:val="auto"/>
    <w:pitch w:val="default"/>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5622132"/>
      <w:docPartObj>
        <w:docPartGallery w:val="Page Numbers (Bottom of Page)"/>
        <w:docPartUnique/>
      </w:docPartObj>
    </w:sdtPr>
    <w:sdtEndPr/>
    <w:sdtContent>
      <w:p w:rsidR="00C81778" w:rsidRDefault="00AB0D4E">
        <w:pPr>
          <w:pStyle w:val="afe"/>
          <w:jc w:val="right"/>
          <w:rPr>
            <w:sz w:val="20"/>
            <w:szCs w:val="20"/>
          </w:rPr>
        </w:pPr>
        <w:r>
          <w:fldChar w:fldCharType="begin"/>
        </w:r>
        <w:r>
          <w:instrText xml:space="preserve"> PAGE </w:instrText>
        </w:r>
        <w:r>
          <w:fldChar w:fldCharType="separate"/>
        </w:r>
        <w:r w:rsidR="000F711E">
          <w:rPr>
            <w:noProof/>
          </w:rPr>
          <w:t>5</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1401864"/>
      <w:docPartObj>
        <w:docPartGallery w:val="Page Numbers (Bottom of Page)"/>
        <w:docPartUnique/>
      </w:docPartObj>
    </w:sdtPr>
    <w:sdtEndPr/>
    <w:sdtContent>
      <w:p w:rsidR="00C81778" w:rsidRDefault="00AB0D4E">
        <w:pPr>
          <w:pStyle w:val="afe"/>
          <w:jc w:val="right"/>
          <w:rPr>
            <w:sz w:val="20"/>
            <w:szCs w:val="20"/>
          </w:rPr>
        </w:pPr>
        <w:r>
          <w:fldChar w:fldCharType="begin"/>
        </w:r>
        <w:r>
          <w:instrText xml:space="preserve"> PAGE </w:instrText>
        </w:r>
        <w:r>
          <w:fldChar w:fldCharType="separate"/>
        </w:r>
        <w:r w:rsidR="000F711E">
          <w:rPr>
            <w:noProof/>
          </w:rPr>
          <w:t>6</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778" w:rsidRDefault="00C8177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4731801"/>
      <w:docPartObj>
        <w:docPartGallery w:val="Page Numbers (Bottom of Page)"/>
        <w:docPartUnique/>
      </w:docPartObj>
    </w:sdtPr>
    <w:sdtEndPr/>
    <w:sdtContent>
      <w:p w:rsidR="00C81778" w:rsidRDefault="00AB0D4E">
        <w:pPr>
          <w:pStyle w:val="afe"/>
          <w:jc w:val="right"/>
          <w:rPr>
            <w:sz w:val="20"/>
            <w:szCs w:val="20"/>
          </w:rPr>
        </w:pPr>
        <w:r>
          <w:fldChar w:fldCharType="begin"/>
        </w:r>
        <w:r>
          <w:instrText xml:space="preserve"> PAGE </w:instrText>
        </w:r>
        <w:r>
          <w:fldChar w:fldCharType="separate"/>
        </w:r>
        <w:r w:rsidR="000F711E">
          <w:rPr>
            <w:noProof/>
          </w:rPr>
          <w:t>21</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778" w:rsidRDefault="00C81778"/>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681678"/>
      <w:docPartObj>
        <w:docPartGallery w:val="Page Numbers (Bottom of Page)"/>
        <w:docPartUnique/>
      </w:docPartObj>
    </w:sdtPr>
    <w:sdtEndPr/>
    <w:sdtContent>
      <w:p w:rsidR="00C81778" w:rsidRDefault="00AB0D4E">
        <w:pPr>
          <w:pStyle w:val="afe"/>
          <w:jc w:val="right"/>
          <w:rPr>
            <w:sz w:val="20"/>
            <w:szCs w:val="20"/>
          </w:rPr>
        </w:pPr>
        <w:r>
          <w:fldChar w:fldCharType="begin"/>
        </w:r>
        <w:r>
          <w:instrText xml:space="preserve"> PAGE </w:instrText>
        </w:r>
        <w:r>
          <w:fldChar w:fldCharType="separate"/>
        </w:r>
        <w:r w:rsidR="000F711E">
          <w:rPr>
            <w:noProof/>
          </w:rPr>
          <w:t>25</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778" w:rsidRDefault="00C8177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1778" w:rsidRDefault="00AB0D4E">
      <w:pPr>
        <w:rPr>
          <w:sz w:val="12"/>
        </w:rPr>
      </w:pPr>
      <w:r>
        <w:separator/>
      </w:r>
    </w:p>
  </w:footnote>
  <w:footnote w:type="continuationSeparator" w:id="0">
    <w:p w:rsidR="00C81778" w:rsidRDefault="00AB0D4E">
      <w:pPr>
        <w:rPr>
          <w:sz w:val="12"/>
        </w:rPr>
      </w:pPr>
      <w:r>
        <w:continuationSeparator/>
      </w:r>
    </w:p>
  </w:footnote>
  <w:footnote w:id="1">
    <w:p w:rsidR="00C81778" w:rsidRDefault="00AB0D4E">
      <w:pPr>
        <w:spacing w:after="0" w:line="240" w:lineRule="auto"/>
        <w:jc w:val="both"/>
        <w:rPr>
          <w:rFonts w:cstheme="minorHAnsi"/>
          <w:i/>
          <w:iCs/>
          <w:sz w:val="16"/>
          <w:szCs w:val="16"/>
        </w:rPr>
      </w:pPr>
      <w:r>
        <w:rPr>
          <w:rStyle w:val="af"/>
        </w:rPr>
        <w:footnoteRef/>
      </w:r>
      <w:r>
        <w:rPr>
          <w:rFonts w:cstheme="minorHAnsi"/>
          <w:i/>
          <w:iCs/>
          <w:sz w:val="16"/>
          <w:szCs w:val="16"/>
        </w:rPr>
        <w:t xml:space="preserve"> Источник: «Отчет о функционировании ЕЭС России в 2023 г.» Системного оператора Единой энергетической системы.</w:t>
      </w:r>
    </w:p>
  </w:footnote>
  <w:footnote w:id="2">
    <w:p w:rsidR="00C81778" w:rsidRDefault="00AB0D4E">
      <w:pPr>
        <w:pStyle w:val="ae"/>
        <w:rPr>
          <w:rFonts w:cstheme="minorHAnsi"/>
          <w:i/>
          <w:iCs/>
          <w:sz w:val="16"/>
          <w:szCs w:val="16"/>
        </w:rPr>
      </w:pPr>
      <w:r>
        <w:rPr>
          <w:rStyle w:val="af"/>
        </w:rPr>
        <w:footnoteRef/>
      </w:r>
      <w:r>
        <w:rPr>
          <w:rFonts w:cstheme="minorHAnsi"/>
          <w:i/>
          <w:iCs/>
          <w:sz w:val="16"/>
          <w:szCs w:val="16"/>
        </w:rPr>
        <w:t xml:space="preserve"> Информация о филиалах Компании приведена на сайте Общества: </w:t>
      </w:r>
      <w:hyperlink r:id="rId1" w:tooltip="https://www.ogk2.ru/elektrostantsii/" w:history="1">
        <w:r>
          <w:rPr>
            <w:rStyle w:val="af8"/>
            <w:rFonts w:cstheme="minorHAnsi"/>
            <w:i/>
            <w:iCs/>
            <w:sz w:val="16"/>
            <w:szCs w:val="16"/>
          </w:rPr>
          <w:t>https://www.ogk2.ru/elektrostantsii/</w:t>
        </w:r>
      </w:hyperlink>
      <w:r>
        <w:rPr>
          <w:rFonts w:cstheme="minorHAnsi"/>
          <w:i/>
          <w:iCs/>
          <w:sz w:val="16"/>
          <w:szCs w:val="16"/>
        </w:rPr>
        <w:t xml:space="preserve"> </w:t>
      </w:r>
    </w:p>
  </w:footnote>
  <w:footnote w:id="3">
    <w:p w:rsidR="00C81778" w:rsidRDefault="00AB0D4E">
      <w:pPr>
        <w:pStyle w:val="ae"/>
        <w:rPr>
          <w:i/>
          <w:iCs/>
        </w:rPr>
      </w:pPr>
      <w:r>
        <w:rPr>
          <w:rStyle w:val="af"/>
        </w:rPr>
        <w:footnoteRef/>
      </w:r>
      <w:r>
        <w:rPr>
          <w:i/>
          <w:iCs/>
          <w:sz w:val="16"/>
          <w:szCs w:val="16"/>
        </w:rPr>
        <w:t xml:space="preserve"> </w:t>
      </w:r>
      <w:r>
        <w:rPr>
          <w:rFonts w:eastAsia="Times New Roman" w:cstheme="minorHAnsi"/>
          <w:i/>
          <w:iCs/>
          <w:sz w:val="16"/>
          <w:szCs w:val="16"/>
          <w:lang w:eastAsia="ru-RU"/>
        </w:rPr>
        <w:t xml:space="preserve">Без учета </w:t>
      </w:r>
      <w:proofErr w:type="spellStart"/>
      <w:r>
        <w:rPr>
          <w:rFonts w:eastAsia="Times New Roman" w:cstheme="minorHAnsi"/>
          <w:i/>
          <w:iCs/>
          <w:sz w:val="16"/>
          <w:szCs w:val="16"/>
          <w:lang w:eastAsia="ru-RU"/>
        </w:rPr>
        <w:t>Свободненской</w:t>
      </w:r>
      <w:proofErr w:type="spellEnd"/>
      <w:r>
        <w:rPr>
          <w:rFonts w:eastAsia="Times New Roman" w:cstheme="minorHAnsi"/>
          <w:i/>
          <w:iCs/>
          <w:sz w:val="16"/>
          <w:szCs w:val="16"/>
          <w:lang w:eastAsia="ru-RU"/>
        </w:rPr>
        <w:t xml:space="preserve"> ТЭС.</w:t>
      </w:r>
    </w:p>
  </w:footnote>
  <w:footnote w:id="4">
    <w:p w:rsidR="00C81778" w:rsidRDefault="00AB0D4E">
      <w:pPr>
        <w:pStyle w:val="ae"/>
        <w:rPr>
          <w:i/>
          <w:iCs/>
        </w:rPr>
      </w:pPr>
      <w:r>
        <w:rPr>
          <w:rStyle w:val="af"/>
        </w:rPr>
        <w:footnoteRef/>
      </w:r>
      <w:r>
        <w:rPr>
          <w:i/>
          <w:iCs/>
          <w:sz w:val="16"/>
          <w:szCs w:val="16"/>
        </w:rPr>
        <w:t xml:space="preserve"> </w:t>
      </w:r>
      <w:r>
        <w:rPr>
          <w:rFonts w:cstheme="minorHAnsi"/>
          <w:i/>
          <w:iCs/>
          <w:sz w:val="16"/>
          <w:szCs w:val="16"/>
        </w:rPr>
        <w:t>Утверждена Советом директоров ПАО «ОГК-2» 11.07.2023, протокол №303 от 11.07.2023.</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DB628F"/>
    <w:multiLevelType w:val="hybridMultilevel"/>
    <w:tmpl w:val="BE12461A"/>
    <w:lvl w:ilvl="0" w:tplc="D24A1A14">
      <w:start w:val="1"/>
      <w:numFmt w:val="decimal"/>
      <w:lvlText w:val="%1."/>
      <w:lvlJc w:val="left"/>
      <w:pPr>
        <w:tabs>
          <w:tab w:val="num" w:pos="0"/>
        </w:tabs>
        <w:ind w:left="720" w:hanging="360"/>
      </w:pPr>
    </w:lvl>
    <w:lvl w:ilvl="1" w:tplc="E4760888">
      <w:start w:val="1"/>
      <w:numFmt w:val="lowerLetter"/>
      <w:lvlText w:val="%2."/>
      <w:lvlJc w:val="left"/>
      <w:pPr>
        <w:tabs>
          <w:tab w:val="num" w:pos="0"/>
        </w:tabs>
        <w:ind w:left="1440" w:hanging="360"/>
      </w:pPr>
    </w:lvl>
    <w:lvl w:ilvl="2" w:tplc="8C22A0CE">
      <w:start w:val="1"/>
      <w:numFmt w:val="lowerRoman"/>
      <w:lvlText w:val="%3."/>
      <w:lvlJc w:val="right"/>
      <w:pPr>
        <w:tabs>
          <w:tab w:val="num" w:pos="0"/>
        </w:tabs>
        <w:ind w:left="2160" w:hanging="180"/>
      </w:pPr>
    </w:lvl>
    <w:lvl w:ilvl="3" w:tplc="810AC658">
      <w:start w:val="1"/>
      <w:numFmt w:val="decimal"/>
      <w:lvlText w:val="%4."/>
      <w:lvlJc w:val="left"/>
      <w:pPr>
        <w:tabs>
          <w:tab w:val="num" w:pos="0"/>
        </w:tabs>
        <w:ind w:left="2880" w:hanging="360"/>
      </w:pPr>
    </w:lvl>
    <w:lvl w:ilvl="4" w:tplc="C98CB612">
      <w:start w:val="1"/>
      <w:numFmt w:val="lowerLetter"/>
      <w:lvlText w:val="%5."/>
      <w:lvlJc w:val="left"/>
      <w:pPr>
        <w:tabs>
          <w:tab w:val="num" w:pos="0"/>
        </w:tabs>
        <w:ind w:left="3600" w:hanging="360"/>
      </w:pPr>
    </w:lvl>
    <w:lvl w:ilvl="5" w:tplc="883CF80E">
      <w:start w:val="1"/>
      <w:numFmt w:val="lowerRoman"/>
      <w:lvlText w:val="%6."/>
      <w:lvlJc w:val="right"/>
      <w:pPr>
        <w:tabs>
          <w:tab w:val="num" w:pos="0"/>
        </w:tabs>
        <w:ind w:left="4320" w:hanging="180"/>
      </w:pPr>
    </w:lvl>
    <w:lvl w:ilvl="6" w:tplc="C5803118">
      <w:start w:val="1"/>
      <w:numFmt w:val="decimal"/>
      <w:lvlText w:val="%7."/>
      <w:lvlJc w:val="left"/>
      <w:pPr>
        <w:tabs>
          <w:tab w:val="num" w:pos="0"/>
        </w:tabs>
        <w:ind w:left="5040" w:hanging="360"/>
      </w:pPr>
    </w:lvl>
    <w:lvl w:ilvl="7" w:tplc="B38CA16C">
      <w:start w:val="1"/>
      <w:numFmt w:val="lowerLetter"/>
      <w:lvlText w:val="%8."/>
      <w:lvlJc w:val="left"/>
      <w:pPr>
        <w:tabs>
          <w:tab w:val="num" w:pos="0"/>
        </w:tabs>
        <w:ind w:left="5760" w:hanging="360"/>
      </w:pPr>
    </w:lvl>
    <w:lvl w:ilvl="8" w:tplc="1D3A9C74">
      <w:start w:val="1"/>
      <w:numFmt w:val="lowerRoman"/>
      <w:lvlText w:val="%9."/>
      <w:lvlJc w:val="right"/>
      <w:pPr>
        <w:tabs>
          <w:tab w:val="num" w:pos="0"/>
        </w:tabs>
        <w:ind w:left="6480" w:hanging="180"/>
      </w:pPr>
    </w:lvl>
  </w:abstractNum>
  <w:abstractNum w:abstractNumId="1" w15:restartNumberingAfterBreak="0">
    <w:nsid w:val="07282918"/>
    <w:multiLevelType w:val="hybridMultilevel"/>
    <w:tmpl w:val="817CEE52"/>
    <w:lvl w:ilvl="0" w:tplc="7652BA9E">
      <w:start w:val="1"/>
      <w:numFmt w:val="decimal"/>
      <w:lvlText w:val="%1."/>
      <w:lvlJc w:val="left"/>
      <w:pPr>
        <w:tabs>
          <w:tab w:val="num" w:pos="0"/>
        </w:tabs>
        <w:ind w:left="720" w:hanging="360"/>
      </w:pPr>
    </w:lvl>
    <w:lvl w:ilvl="1" w:tplc="E02464B2">
      <w:start w:val="1"/>
      <w:numFmt w:val="lowerLetter"/>
      <w:lvlText w:val="%2."/>
      <w:lvlJc w:val="left"/>
      <w:pPr>
        <w:tabs>
          <w:tab w:val="num" w:pos="0"/>
        </w:tabs>
        <w:ind w:left="1440" w:hanging="360"/>
      </w:pPr>
    </w:lvl>
    <w:lvl w:ilvl="2" w:tplc="85A23164">
      <w:start w:val="1"/>
      <w:numFmt w:val="lowerRoman"/>
      <w:lvlText w:val="%3."/>
      <w:lvlJc w:val="right"/>
      <w:pPr>
        <w:tabs>
          <w:tab w:val="num" w:pos="0"/>
        </w:tabs>
        <w:ind w:left="2160" w:hanging="180"/>
      </w:pPr>
    </w:lvl>
    <w:lvl w:ilvl="3" w:tplc="356017CE">
      <w:start w:val="1"/>
      <w:numFmt w:val="decimal"/>
      <w:lvlText w:val="%4."/>
      <w:lvlJc w:val="left"/>
      <w:pPr>
        <w:tabs>
          <w:tab w:val="num" w:pos="0"/>
        </w:tabs>
        <w:ind w:left="2880" w:hanging="360"/>
      </w:pPr>
    </w:lvl>
    <w:lvl w:ilvl="4" w:tplc="8124DDBC">
      <w:start w:val="1"/>
      <w:numFmt w:val="lowerLetter"/>
      <w:lvlText w:val="%5."/>
      <w:lvlJc w:val="left"/>
      <w:pPr>
        <w:tabs>
          <w:tab w:val="num" w:pos="0"/>
        </w:tabs>
        <w:ind w:left="3600" w:hanging="360"/>
      </w:pPr>
    </w:lvl>
    <w:lvl w:ilvl="5" w:tplc="199CC270">
      <w:start w:val="1"/>
      <w:numFmt w:val="lowerRoman"/>
      <w:lvlText w:val="%6."/>
      <w:lvlJc w:val="right"/>
      <w:pPr>
        <w:tabs>
          <w:tab w:val="num" w:pos="0"/>
        </w:tabs>
        <w:ind w:left="4320" w:hanging="180"/>
      </w:pPr>
    </w:lvl>
    <w:lvl w:ilvl="6" w:tplc="C488089E">
      <w:start w:val="1"/>
      <w:numFmt w:val="decimal"/>
      <w:lvlText w:val="%7."/>
      <w:lvlJc w:val="left"/>
      <w:pPr>
        <w:tabs>
          <w:tab w:val="num" w:pos="0"/>
        </w:tabs>
        <w:ind w:left="5040" w:hanging="360"/>
      </w:pPr>
    </w:lvl>
    <w:lvl w:ilvl="7" w:tplc="E578B2BA">
      <w:start w:val="1"/>
      <w:numFmt w:val="lowerLetter"/>
      <w:lvlText w:val="%8."/>
      <w:lvlJc w:val="left"/>
      <w:pPr>
        <w:tabs>
          <w:tab w:val="num" w:pos="0"/>
        </w:tabs>
        <w:ind w:left="5760" w:hanging="360"/>
      </w:pPr>
    </w:lvl>
    <w:lvl w:ilvl="8" w:tplc="0AC8E9E0">
      <w:start w:val="1"/>
      <w:numFmt w:val="lowerRoman"/>
      <w:lvlText w:val="%9."/>
      <w:lvlJc w:val="right"/>
      <w:pPr>
        <w:tabs>
          <w:tab w:val="num" w:pos="0"/>
        </w:tabs>
        <w:ind w:left="6480" w:hanging="180"/>
      </w:pPr>
    </w:lvl>
  </w:abstractNum>
  <w:abstractNum w:abstractNumId="2" w15:restartNumberingAfterBreak="0">
    <w:nsid w:val="0755758B"/>
    <w:multiLevelType w:val="hybridMultilevel"/>
    <w:tmpl w:val="519EA408"/>
    <w:lvl w:ilvl="0" w:tplc="3482E3C2">
      <w:start w:val="1"/>
      <w:numFmt w:val="decimal"/>
      <w:lvlText w:val="%1."/>
      <w:lvlJc w:val="left"/>
      <w:pPr>
        <w:tabs>
          <w:tab w:val="num" w:pos="0"/>
        </w:tabs>
        <w:ind w:left="720" w:hanging="360"/>
      </w:pPr>
    </w:lvl>
    <w:lvl w:ilvl="1" w:tplc="0C82295A">
      <w:start w:val="1"/>
      <w:numFmt w:val="lowerLetter"/>
      <w:lvlText w:val="%2."/>
      <w:lvlJc w:val="left"/>
      <w:pPr>
        <w:tabs>
          <w:tab w:val="num" w:pos="0"/>
        </w:tabs>
        <w:ind w:left="1440" w:hanging="360"/>
      </w:pPr>
    </w:lvl>
    <w:lvl w:ilvl="2" w:tplc="BCBC059A">
      <w:start w:val="1"/>
      <w:numFmt w:val="lowerRoman"/>
      <w:lvlText w:val="%3."/>
      <w:lvlJc w:val="right"/>
      <w:pPr>
        <w:tabs>
          <w:tab w:val="num" w:pos="0"/>
        </w:tabs>
        <w:ind w:left="2160" w:hanging="180"/>
      </w:pPr>
    </w:lvl>
    <w:lvl w:ilvl="3" w:tplc="2FC881F0">
      <w:start w:val="1"/>
      <w:numFmt w:val="decimal"/>
      <w:lvlText w:val="%4."/>
      <w:lvlJc w:val="left"/>
      <w:pPr>
        <w:tabs>
          <w:tab w:val="num" w:pos="0"/>
        </w:tabs>
        <w:ind w:left="2880" w:hanging="360"/>
      </w:pPr>
    </w:lvl>
    <w:lvl w:ilvl="4" w:tplc="6A60408A">
      <w:start w:val="1"/>
      <w:numFmt w:val="lowerLetter"/>
      <w:lvlText w:val="%5."/>
      <w:lvlJc w:val="left"/>
      <w:pPr>
        <w:tabs>
          <w:tab w:val="num" w:pos="0"/>
        </w:tabs>
        <w:ind w:left="3600" w:hanging="360"/>
      </w:pPr>
    </w:lvl>
    <w:lvl w:ilvl="5" w:tplc="710EB644">
      <w:start w:val="1"/>
      <w:numFmt w:val="lowerRoman"/>
      <w:lvlText w:val="%6."/>
      <w:lvlJc w:val="right"/>
      <w:pPr>
        <w:tabs>
          <w:tab w:val="num" w:pos="0"/>
        </w:tabs>
        <w:ind w:left="4320" w:hanging="180"/>
      </w:pPr>
    </w:lvl>
    <w:lvl w:ilvl="6" w:tplc="C7E4F8D8">
      <w:start w:val="1"/>
      <w:numFmt w:val="decimal"/>
      <w:lvlText w:val="%7."/>
      <w:lvlJc w:val="left"/>
      <w:pPr>
        <w:tabs>
          <w:tab w:val="num" w:pos="0"/>
        </w:tabs>
        <w:ind w:left="5040" w:hanging="360"/>
      </w:pPr>
    </w:lvl>
    <w:lvl w:ilvl="7" w:tplc="20781B18">
      <w:start w:val="1"/>
      <w:numFmt w:val="lowerLetter"/>
      <w:lvlText w:val="%8."/>
      <w:lvlJc w:val="left"/>
      <w:pPr>
        <w:tabs>
          <w:tab w:val="num" w:pos="0"/>
        </w:tabs>
        <w:ind w:left="5760" w:hanging="360"/>
      </w:pPr>
    </w:lvl>
    <w:lvl w:ilvl="8" w:tplc="B67A029E">
      <w:start w:val="1"/>
      <w:numFmt w:val="lowerRoman"/>
      <w:lvlText w:val="%9."/>
      <w:lvlJc w:val="right"/>
      <w:pPr>
        <w:tabs>
          <w:tab w:val="num" w:pos="0"/>
        </w:tabs>
        <w:ind w:left="6480" w:hanging="180"/>
      </w:pPr>
    </w:lvl>
  </w:abstractNum>
  <w:abstractNum w:abstractNumId="3" w15:restartNumberingAfterBreak="0">
    <w:nsid w:val="07840BF0"/>
    <w:multiLevelType w:val="hybridMultilevel"/>
    <w:tmpl w:val="2EBC67CA"/>
    <w:lvl w:ilvl="0" w:tplc="4F386F62">
      <w:start w:val="1"/>
      <w:numFmt w:val="bullet"/>
      <w:pStyle w:val="5"/>
      <w:lvlText w:val=""/>
      <w:lvlJc w:val="left"/>
      <w:pPr>
        <w:tabs>
          <w:tab w:val="num" w:pos="1492"/>
        </w:tabs>
        <w:ind w:left="1492" w:hanging="360"/>
      </w:pPr>
      <w:rPr>
        <w:rFonts w:ascii="Symbol" w:hAnsi="Symbol" w:cs="Symbol" w:hint="default"/>
      </w:rPr>
    </w:lvl>
    <w:lvl w:ilvl="1" w:tplc="6174F97C">
      <w:start w:val="1"/>
      <w:numFmt w:val="bullet"/>
      <w:lvlText w:val="o"/>
      <w:lvlJc w:val="left"/>
      <w:pPr>
        <w:tabs>
          <w:tab w:val="num" w:pos="0"/>
        </w:tabs>
        <w:ind w:left="1440" w:hanging="360"/>
      </w:pPr>
      <w:rPr>
        <w:rFonts w:ascii="Courier New" w:hAnsi="Courier New" w:cs="Courier New" w:hint="default"/>
      </w:rPr>
    </w:lvl>
    <w:lvl w:ilvl="2" w:tplc="96E8C68A">
      <w:start w:val="1"/>
      <w:numFmt w:val="bullet"/>
      <w:lvlText w:val="§"/>
      <w:lvlJc w:val="left"/>
      <w:pPr>
        <w:tabs>
          <w:tab w:val="num" w:pos="0"/>
        </w:tabs>
        <w:ind w:left="2160" w:hanging="360"/>
      </w:pPr>
      <w:rPr>
        <w:rFonts w:ascii="Wingdings" w:hAnsi="Wingdings" w:cs="Wingdings" w:hint="default"/>
      </w:rPr>
    </w:lvl>
    <w:lvl w:ilvl="3" w:tplc="49443E80">
      <w:start w:val="1"/>
      <w:numFmt w:val="bullet"/>
      <w:lvlText w:val="·"/>
      <w:lvlJc w:val="left"/>
      <w:pPr>
        <w:tabs>
          <w:tab w:val="num" w:pos="0"/>
        </w:tabs>
        <w:ind w:left="2880" w:hanging="360"/>
      </w:pPr>
      <w:rPr>
        <w:rFonts w:ascii="Symbol" w:hAnsi="Symbol" w:cs="Symbol" w:hint="default"/>
      </w:rPr>
    </w:lvl>
    <w:lvl w:ilvl="4" w:tplc="3FFACBE6">
      <w:start w:val="1"/>
      <w:numFmt w:val="bullet"/>
      <w:lvlText w:val="o"/>
      <w:lvlJc w:val="left"/>
      <w:pPr>
        <w:tabs>
          <w:tab w:val="num" w:pos="0"/>
        </w:tabs>
        <w:ind w:left="3600" w:hanging="360"/>
      </w:pPr>
      <w:rPr>
        <w:rFonts w:ascii="Courier New" w:hAnsi="Courier New" w:cs="Courier New" w:hint="default"/>
      </w:rPr>
    </w:lvl>
    <w:lvl w:ilvl="5" w:tplc="B6706882">
      <w:start w:val="1"/>
      <w:numFmt w:val="bullet"/>
      <w:lvlText w:val="§"/>
      <w:lvlJc w:val="left"/>
      <w:pPr>
        <w:tabs>
          <w:tab w:val="num" w:pos="0"/>
        </w:tabs>
        <w:ind w:left="4320" w:hanging="360"/>
      </w:pPr>
      <w:rPr>
        <w:rFonts w:ascii="Wingdings" w:hAnsi="Wingdings" w:cs="Wingdings" w:hint="default"/>
      </w:rPr>
    </w:lvl>
    <w:lvl w:ilvl="6" w:tplc="B1B042CE">
      <w:start w:val="1"/>
      <w:numFmt w:val="bullet"/>
      <w:lvlText w:val="·"/>
      <w:lvlJc w:val="left"/>
      <w:pPr>
        <w:tabs>
          <w:tab w:val="num" w:pos="0"/>
        </w:tabs>
        <w:ind w:left="5040" w:hanging="360"/>
      </w:pPr>
      <w:rPr>
        <w:rFonts w:ascii="Symbol" w:hAnsi="Symbol" w:cs="Symbol" w:hint="default"/>
      </w:rPr>
    </w:lvl>
    <w:lvl w:ilvl="7" w:tplc="5BE839C6">
      <w:start w:val="1"/>
      <w:numFmt w:val="bullet"/>
      <w:lvlText w:val="o"/>
      <w:lvlJc w:val="left"/>
      <w:pPr>
        <w:tabs>
          <w:tab w:val="num" w:pos="0"/>
        </w:tabs>
        <w:ind w:left="5760" w:hanging="360"/>
      </w:pPr>
      <w:rPr>
        <w:rFonts w:ascii="Courier New" w:hAnsi="Courier New" w:cs="Courier New" w:hint="default"/>
      </w:rPr>
    </w:lvl>
    <w:lvl w:ilvl="8" w:tplc="C862FBFC">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79A6033"/>
    <w:multiLevelType w:val="hybridMultilevel"/>
    <w:tmpl w:val="7F9607B4"/>
    <w:lvl w:ilvl="0" w:tplc="E35034B2">
      <w:start w:val="1"/>
      <w:numFmt w:val="decimal"/>
      <w:lvlText w:val="%1."/>
      <w:lvlJc w:val="left"/>
      <w:pPr>
        <w:tabs>
          <w:tab w:val="num" w:pos="0"/>
        </w:tabs>
        <w:ind w:left="720" w:hanging="360"/>
      </w:pPr>
    </w:lvl>
    <w:lvl w:ilvl="1" w:tplc="DD78C7AC">
      <w:start w:val="1"/>
      <w:numFmt w:val="lowerLetter"/>
      <w:lvlText w:val="%2."/>
      <w:lvlJc w:val="left"/>
      <w:pPr>
        <w:tabs>
          <w:tab w:val="num" w:pos="0"/>
        </w:tabs>
        <w:ind w:left="1440" w:hanging="360"/>
      </w:pPr>
    </w:lvl>
    <w:lvl w:ilvl="2" w:tplc="8BC47210">
      <w:start w:val="1"/>
      <w:numFmt w:val="lowerRoman"/>
      <w:lvlText w:val="%3."/>
      <w:lvlJc w:val="right"/>
      <w:pPr>
        <w:tabs>
          <w:tab w:val="num" w:pos="0"/>
        </w:tabs>
        <w:ind w:left="2160" w:hanging="180"/>
      </w:pPr>
    </w:lvl>
    <w:lvl w:ilvl="3" w:tplc="653C2BC4">
      <w:start w:val="1"/>
      <w:numFmt w:val="decimal"/>
      <w:lvlText w:val="%4."/>
      <w:lvlJc w:val="left"/>
      <w:pPr>
        <w:tabs>
          <w:tab w:val="num" w:pos="0"/>
        </w:tabs>
        <w:ind w:left="2880" w:hanging="360"/>
      </w:pPr>
    </w:lvl>
    <w:lvl w:ilvl="4" w:tplc="52F88D80">
      <w:start w:val="1"/>
      <w:numFmt w:val="lowerLetter"/>
      <w:lvlText w:val="%5."/>
      <w:lvlJc w:val="left"/>
      <w:pPr>
        <w:tabs>
          <w:tab w:val="num" w:pos="0"/>
        </w:tabs>
        <w:ind w:left="3600" w:hanging="360"/>
      </w:pPr>
    </w:lvl>
    <w:lvl w:ilvl="5" w:tplc="DE9821D8">
      <w:start w:val="1"/>
      <w:numFmt w:val="lowerRoman"/>
      <w:lvlText w:val="%6."/>
      <w:lvlJc w:val="right"/>
      <w:pPr>
        <w:tabs>
          <w:tab w:val="num" w:pos="0"/>
        </w:tabs>
        <w:ind w:left="4320" w:hanging="180"/>
      </w:pPr>
    </w:lvl>
    <w:lvl w:ilvl="6" w:tplc="DB54E856">
      <w:start w:val="1"/>
      <w:numFmt w:val="decimal"/>
      <w:lvlText w:val="%7."/>
      <w:lvlJc w:val="left"/>
      <w:pPr>
        <w:tabs>
          <w:tab w:val="num" w:pos="0"/>
        </w:tabs>
        <w:ind w:left="5040" w:hanging="360"/>
      </w:pPr>
    </w:lvl>
    <w:lvl w:ilvl="7" w:tplc="ED624864">
      <w:start w:val="1"/>
      <w:numFmt w:val="lowerLetter"/>
      <w:lvlText w:val="%8."/>
      <w:lvlJc w:val="left"/>
      <w:pPr>
        <w:tabs>
          <w:tab w:val="num" w:pos="0"/>
        </w:tabs>
        <w:ind w:left="5760" w:hanging="360"/>
      </w:pPr>
    </w:lvl>
    <w:lvl w:ilvl="8" w:tplc="7FFA0424">
      <w:start w:val="1"/>
      <w:numFmt w:val="lowerRoman"/>
      <w:lvlText w:val="%9."/>
      <w:lvlJc w:val="right"/>
      <w:pPr>
        <w:tabs>
          <w:tab w:val="num" w:pos="0"/>
        </w:tabs>
        <w:ind w:left="6480" w:hanging="180"/>
      </w:pPr>
    </w:lvl>
  </w:abstractNum>
  <w:abstractNum w:abstractNumId="5" w15:restartNumberingAfterBreak="0">
    <w:nsid w:val="091A57A6"/>
    <w:multiLevelType w:val="hybridMultilevel"/>
    <w:tmpl w:val="64AA3F9C"/>
    <w:lvl w:ilvl="0" w:tplc="C1E63A22">
      <w:start w:val="1"/>
      <w:numFmt w:val="bullet"/>
      <w:lvlText w:val=""/>
      <w:lvlJc w:val="left"/>
      <w:pPr>
        <w:tabs>
          <w:tab w:val="num" w:pos="0"/>
        </w:tabs>
        <w:ind w:left="720" w:hanging="360"/>
      </w:pPr>
      <w:rPr>
        <w:rFonts w:ascii="Symbol" w:hAnsi="Symbol" w:cs="Symbol" w:hint="default"/>
      </w:rPr>
    </w:lvl>
    <w:lvl w:ilvl="1" w:tplc="9768E24A">
      <w:start w:val="1"/>
      <w:numFmt w:val="bullet"/>
      <w:lvlText w:val="o"/>
      <w:lvlJc w:val="left"/>
      <w:pPr>
        <w:tabs>
          <w:tab w:val="num" w:pos="0"/>
        </w:tabs>
        <w:ind w:left="1440" w:hanging="360"/>
      </w:pPr>
      <w:rPr>
        <w:rFonts w:ascii="Courier New" w:hAnsi="Courier New" w:cs="Courier New" w:hint="default"/>
      </w:rPr>
    </w:lvl>
    <w:lvl w:ilvl="2" w:tplc="D07EFFC8">
      <w:start w:val="1"/>
      <w:numFmt w:val="bullet"/>
      <w:lvlText w:val=""/>
      <w:lvlJc w:val="left"/>
      <w:pPr>
        <w:tabs>
          <w:tab w:val="num" w:pos="0"/>
        </w:tabs>
        <w:ind w:left="2160" w:hanging="360"/>
      </w:pPr>
      <w:rPr>
        <w:rFonts w:ascii="Wingdings" w:hAnsi="Wingdings" w:cs="Wingdings" w:hint="default"/>
      </w:rPr>
    </w:lvl>
    <w:lvl w:ilvl="3" w:tplc="4A1C9774">
      <w:start w:val="1"/>
      <w:numFmt w:val="bullet"/>
      <w:lvlText w:val=""/>
      <w:lvlJc w:val="left"/>
      <w:pPr>
        <w:tabs>
          <w:tab w:val="num" w:pos="0"/>
        </w:tabs>
        <w:ind w:left="2880" w:hanging="360"/>
      </w:pPr>
      <w:rPr>
        <w:rFonts w:ascii="Symbol" w:hAnsi="Symbol" w:cs="Symbol" w:hint="default"/>
      </w:rPr>
    </w:lvl>
    <w:lvl w:ilvl="4" w:tplc="E9B68804">
      <w:start w:val="1"/>
      <w:numFmt w:val="bullet"/>
      <w:lvlText w:val="o"/>
      <w:lvlJc w:val="left"/>
      <w:pPr>
        <w:tabs>
          <w:tab w:val="num" w:pos="0"/>
        </w:tabs>
        <w:ind w:left="3600" w:hanging="360"/>
      </w:pPr>
      <w:rPr>
        <w:rFonts w:ascii="Courier New" w:hAnsi="Courier New" w:cs="Courier New" w:hint="default"/>
      </w:rPr>
    </w:lvl>
    <w:lvl w:ilvl="5" w:tplc="A57028EE">
      <w:start w:val="1"/>
      <w:numFmt w:val="bullet"/>
      <w:lvlText w:val=""/>
      <w:lvlJc w:val="left"/>
      <w:pPr>
        <w:tabs>
          <w:tab w:val="num" w:pos="0"/>
        </w:tabs>
        <w:ind w:left="4320" w:hanging="360"/>
      </w:pPr>
      <w:rPr>
        <w:rFonts w:ascii="Wingdings" w:hAnsi="Wingdings" w:cs="Wingdings" w:hint="default"/>
      </w:rPr>
    </w:lvl>
    <w:lvl w:ilvl="6" w:tplc="B1B04F72">
      <w:start w:val="1"/>
      <w:numFmt w:val="bullet"/>
      <w:lvlText w:val=""/>
      <w:lvlJc w:val="left"/>
      <w:pPr>
        <w:tabs>
          <w:tab w:val="num" w:pos="0"/>
        </w:tabs>
        <w:ind w:left="5040" w:hanging="360"/>
      </w:pPr>
      <w:rPr>
        <w:rFonts w:ascii="Symbol" w:hAnsi="Symbol" w:cs="Symbol" w:hint="default"/>
      </w:rPr>
    </w:lvl>
    <w:lvl w:ilvl="7" w:tplc="19FC1EAC">
      <w:start w:val="1"/>
      <w:numFmt w:val="bullet"/>
      <w:lvlText w:val="o"/>
      <w:lvlJc w:val="left"/>
      <w:pPr>
        <w:tabs>
          <w:tab w:val="num" w:pos="0"/>
        </w:tabs>
        <w:ind w:left="5760" w:hanging="360"/>
      </w:pPr>
      <w:rPr>
        <w:rFonts w:ascii="Courier New" w:hAnsi="Courier New" w:cs="Courier New" w:hint="default"/>
      </w:rPr>
    </w:lvl>
    <w:lvl w:ilvl="8" w:tplc="27D805A6">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C60680A"/>
    <w:multiLevelType w:val="hybridMultilevel"/>
    <w:tmpl w:val="489266AA"/>
    <w:lvl w:ilvl="0" w:tplc="2610BD06">
      <w:start w:val="1"/>
      <w:numFmt w:val="decimal"/>
      <w:lvlText w:val="%1."/>
      <w:lvlJc w:val="left"/>
      <w:pPr>
        <w:tabs>
          <w:tab w:val="num" w:pos="0"/>
        </w:tabs>
        <w:ind w:left="720" w:hanging="360"/>
      </w:pPr>
    </w:lvl>
    <w:lvl w:ilvl="1" w:tplc="1EDC540C">
      <w:start w:val="1"/>
      <w:numFmt w:val="lowerLetter"/>
      <w:lvlText w:val="%2."/>
      <w:lvlJc w:val="left"/>
      <w:pPr>
        <w:tabs>
          <w:tab w:val="num" w:pos="0"/>
        </w:tabs>
        <w:ind w:left="1440" w:hanging="360"/>
      </w:pPr>
    </w:lvl>
    <w:lvl w:ilvl="2" w:tplc="A5EE4480">
      <w:start w:val="1"/>
      <w:numFmt w:val="lowerRoman"/>
      <w:lvlText w:val="%3."/>
      <w:lvlJc w:val="right"/>
      <w:pPr>
        <w:tabs>
          <w:tab w:val="num" w:pos="0"/>
        </w:tabs>
        <w:ind w:left="2160" w:hanging="180"/>
      </w:pPr>
    </w:lvl>
    <w:lvl w:ilvl="3" w:tplc="62DE5F7A">
      <w:start w:val="1"/>
      <w:numFmt w:val="decimal"/>
      <w:lvlText w:val="%4."/>
      <w:lvlJc w:val="left"/>
      <w:pPr>
        <w:tabs>
          <w:tab w:val="num" w:pos="0"/>
        </w:tabs>
        <w:ind w:left="2880" w:hanging="360"/>
      </w:pPr>
    </w:lvl>
    <w:lvl w:ilvl="4" w:tplc="31029E3C">
      <w:start w:val="1"/>
      <w:numFmt w:val="lowerLetter"/>
      <w:lvlText w:val="%5."/>
      <w:lvlJc w:val="left"/>
      <w:pPr>
        <w:tabs>
          <w:tab w:val="num" w:pos="0"/>
        </w:tabs>
        <w:ind w:left="3600" w:hanging="360"/>
      </w:pPr>
    </w:lvl>
    <w:lvl w:ilvl="5" w:tplc="11B21F6A">
      <w:start w:val="1"/>
      <w:numFmt w:val="lowerRoman"/>
      <w:lvlText w:val="%6."/>
      <w:lvlJc w:val="right"/>
      <w:pPr>
        <w:tabs>
          <w:tab w:val="num" w:pos="0"/>
        </w:tabs>
        <w:ind w:left="4320" w:hanging="180"/>
      </w:pPr>
    </w:lvl>
    <w:lvl w:ilvl="6" w:tplc="765ADB06">
      <w:start w:val="1"/>
      <w:numFmt w:val="decimal"/>
      <w:lvlText w:val="%7."/>
      <w:lvlJc w:val="left"/>
      <w:pPr>
        <w:tabs>
          <w:tab w:val="num" w:pos="0"/>
        </w:tabs>
        <w:ind w:left="5040" w:hanging="360"/>
      </w:pPr>
    </w:lvl>
    <w:lvl w:ilvl="7" w:tplc="00844240">
      <w:start w:val="1"/>
      <w:numFmt w:val="lowerLetter"/>
      <w:lvlText w:val="%8."/>
      <w:lvlJc w:val="left"/>
      <w:pPr>
        <w:tabs>
          <w:tab w:val="num" w:pos="0"/>
        </w:tabs>
        <w:ind w:left="5760" w:hanging="360"/>
      </w:pPr>
    </w:lvl>
    <w:lvl w:ilvl="8" w:tplc="EB6ACB1A">
      <w:start w:val="1"/>
      <w:numFmt w:val="lowerRoman"/>
      <w:lvlText w:val="%9."/>
      <w:lvlJc w:val="right"/>
      <w:pPr>
        <w:tabs>
          <w:tab w:val="num" w:pos="0"/>
        </w:tabs>
        <w:ind w:left="6480" w:hanging="180"/>
      </w:pPr>
    </w:lvl>
  </w:abstractNum>
  <w:abstractNum w:abstractNumId="7" w15:restartNumberingAfterBreak="0">
    <w:nsid w:val="0E1B6544"/>
    <w:multiLevelType w:val="hybridMultilevel"/>
    <w:tmpl w:val="484CF32E"/>
    <w:lvl w:ilvl="0" w:tplc="ABA0AB48">
      <w:start w:val="1"/>
      <w:numFmt w:val="decimal"/>
      <w:lvlText w:val="%1."/>
      <w:lvlJc w:val="left"/>
      <w:pPr>
        <w:tabs>
          <w:tab w:val="num" w:pos="0"/>
        </w:tabs>
        <w:ind w:left="720" w:hanging="360"/>
      </w:pPr>
    </w:lvl>
    <w:lvl w:ilvl="1" w:tplc="7C542E42">
      <w:start w:val="1"/>
      <w:numFmt w:val="lowerLetter"/>
      <w:lvlText w:val="%2."/>
      <w:lvlJc w:val="left"/>
      <w:pPr>
        <w:tabs>
          <w:tab w:val="num" w:pos="0"/>
        </w:tabs>
        <w:ind w:left="1440" w:hanging="360"/>
      </w:pPr>
    </w:lvl>
    <w:lvl w:ilvl="2" w:tplc="F8AA1B6A">
      <w:start w:val="1"/>
      <w:numFmt w:val="lowerRoman"/>
      <w:lvlText w:val="%3."/>
      <w:lvlJc w:val="right"/>
      <w:pPr>
        <w:tabs>
          <w:tab w:val="num" w:pos="0"/>
        </w:tabs>
        <w:ind w:left="2160" w:hanging="180"/>
      </w:pPr>
    </w:lvl>
    <w:lvl w:ilvl="3" w:tplc="12C44F0C">
      <w:start w:val="1"/>
      <w:numFmt w:val="decimal"/>
      <w:lvlText w:val="%4."/>
      <w:lvlJc w:val="left"/>
      <w:pPr>
        <w:tabs>
          <w:tab w:val="num" w:pos="0"/>
        </w:tabs>
        <w:ind w:left="2880" w:hanging="360"/>
      </w:pPr>
    </w:lvl>
    <w:lvl w:ilvl="4" w:tplc="0CF8F2CE">
      <w:start w:val="1"/>
      <w:numFmt w:val="lowerLetter"/>
      <w:lvlText w:val="%5."/>
      <w:lvlJc w:val="left"/>
      <w:pPr>
        <w:tabs>
          <w:tab w:val="num" w:pos="0"/>
        </w:tabs>
        <w:ind w:left="3600" w:hanging="360"/>
      </w:pPr>
    </w:lvl>
    <w:lvl w:ilvl="5" w:tplc="5FA83AE4">
      <w:start w:val="1"/>
      <w:numFmt w:val="lowerRoman"/>
      <w:lvlText w:val="%6."/>
      <w:lvlJc w:val="right"/>
      <w:pPr>
        <w:tabs>
          <w:tab w:val="num" w:pos="0"/>
        </w:tabs>
        <w:ind w:left="4320" w:hanging="180"/>
      </w:pPr>
    </w:lvl>
    <w:lvl w:ilvl="6" w:tplc="906CE55E">
      <w:start w:val="1"/>
      <w:numFmt w:val="decimal"/>
      <w:lvlText w:val="%7."/>
      <w:lvlJc w:val="left"/>
      <w:pPr>
        <w:tabs>
          <w:tab w:val="num" w:pos="0"/>
        </w:tabs>
        <w:ind w:left="5040" w:hanging="360"/>
      </w:pPr>
    </w:lvl>
    <w:lvl w:ilvl="7" w:tplc="F23C828C">
      <w:start w:val="1"/>
      <w:numFmt w:val="lowerLetter"/>
      <w:lvlText w:val="%8."/>
      <w:lvlJc w:val="left"/>
      <w:pPr>
        <w:tabs>
          <w:tab w:val="num" w:pos="0"/>
        </w:tabs>
        <w:ind w:left="5760" w:hanging="360"/>
      </w:pPr>
    </w:lvl>
    <w:lvl w:ilvl="8" w:tplc="9E5815B0">
      <w:start w:val="1"/>
      <w:numFmt w:val="lowerRoman"/>
      <w:lvlText w:val="%9."/>
      <w:lvlJc w:val="right"/>
      <w:pPr>
        <w:tabs>
          <w:tab w:val="num" w:pos="0"/>
        </w:tabs>
        <w:ind w:left="6480" w:hanging="180"/>
      </w:pPr>
    </w:lvl>
  </w:abstractNum>
  <w:abstractNum w:abstractNumId="8" w15:restartNumberingAfterBreak="0">
    <w:nsid w:val="0E964383"/>
    <w:multiLevelType w:val="hybridMultilevel"/>
    <w:tmpl w:val="630E7ACE"/>
    <w:lvl w:ilvl="0" w:tplc="BA7A5F72">
      <w:start w:val="1"/>
      <w:numFmt w:val="bullet"/>
      <w:pStyle w:val="3"/>
      <w:lvlText w:val=""/>
      <w:lvlJc w:val="left"/>
      <w:pPr>
        <w:tabs>
          <w:tab w:val="num" w:pos="926"/>
        </w:tabs>
        <w:ind w:left="926" w:hanging="360"/>
      </w:pPr>
      <w:rPr>
        <w:rFonts w:ascii="Symbol" w:hAnsi="Symbol" w:cs="Symbol" w:hint="default"/>
      </w:rPr>
    </w:lvl>
    <w:lvl w:ilvl="1" w:tplc="0960021E">
      <w:start w:val="1"/>
      <w:numFmt w:val="bullet"/>
      <w:lvlText w:val="o"/>
      <w:lvlJc w:val="left"/>
      <w:pPr>
        <w:tabs>
          <w:tab w:val="num" w:pos="0"/>
        </w:tabs>
        <w:ind w:left="1440" w:hanging="360"/>
      </w:pPr>
      <w:rPr>
        <w:rFonts w:ascii="Courier New" w:hAnsi="Courier New" w:cs="Courier New" w:hint="default"/>
      </w:rPr>
    </w:lvl>
    <w:lvl w:ilvl="2" w:tplc="B420B0CA">
      <w:start w:val="1"/>
      <w:numFmt w:val="bullet"/>
      <w:lvlText w:val="§"/>
      <w:lvlJc w:val="left"/>
      <w:pPr>
        <w:tabs>
          <w:tab w:val="num" w:pos="0"/>
        </w:tabs>
        <w:ind w:left="2160" w:hanging="360"/>
      </w:pPr>
      <w:rPr>
        <w:rFonts w:ascii="Wingdings" w:hAnsi="Wingdings" w:cs="Wingdings" w:hint="default"/>
      </w:rPr>
    </w:lvl>
    <w:lvl w:ilvl="3" w:tplc="AA365D16">
      <w:start w:val="1"/>
      <w:numFmt w:val="bullet"/>
      <w:lvlText w:val="·"/>
      <w:lvlJc w:val="left"/>
      <w:pPr>
        <w:tabs>
          <w:tab w:val="num" w:pos="0"/>
        </w:tabs>
        <w:ind w:left="2880" w:hanging="360"/>
      </w:pPr>
      <w:rPr>
        <w:rFonts w:ascii="Symbol" w:hAnsi="Symbol" w:cs="Symbol" w:hint="default"/>
      </w:rPr>
    </w:lvl>
    <w:lvl w:ilvl="4" w:tplc="965A61C2">
      <w:start w:val="1"/>
      <w:numFmt w:val="bullet"/>
      <w:lvlText w:val="o"/>
      <w:lvlJc w:val="left"/>
      <w:pPr>
        <w:tabs>
          <w:tab w:val="num" w:pos="0"/>
        </w:tabs>
        <w:ind w:left="3600" w:hanging="360"/>
      </w:pPr>
      <w:rPr>
        <w:rFonts w:ascii="Courier New" w:hAnsi="Courier New" w:cs="Courier New" w:hint="default"/>
      </w:rPr>
    </w:lvl>
    <w:lvl w:ilvl="5" w:tplc="C896BBC4">
      <w:start w:val="1"/>
      <w:numFmt w:val="bullet"/>
      <w:lvlText w:val="§"/>
      <w:lvlJc w:val="left"/>
      <w:pPr>
        <w:tabs>
          <w:tab w:val="num" w:pos="0"/>
        </w:tabs>
        <w:ind w:left="4320" w:hanging="360"/>
      </w:pPr>
      <w:rPr>
        <w:rFonts w:ascii="Wingdings" w:hAnsi="Wingdings" w:cs="Wingdings" w:hint="default"/>
      </w:rPr>
    </w:lvl>
    <w:lvl w:ilvl="6" w:tplc="DC24021A">
      <w:start w:val="1"/>
      <w:numFmt w:val="bullet"/>
      <w:lvlText w:val="·"/>
      <w:lvlJc w:val="left"/>
      <w:pPr>
        <w:tabs>
          <w:tab w:val="num" w:pos="0"/>
        </w:tabs>
        <w:ind w:left="5040" w:hanging="360"/>
      </w:pPr>
      <w:rPr>
        <w:rFonts w:ascii="Symbol" w:hAnsi="Symbol" w:cs="Symbol" w:hint="default"/>
      </w:rPr>
    </w:lvl>
    <w:lvl w:ilvl="7" w:tplc="1750CD52">
      <w:start w:val="1"/>
      <w:numFmt w:val="bullet"/>
      <w:lvlText w:val="o"/>
      <w:lvlJc w:val="left"/>
      <w:pPr>
        <w:tabs>
          <w:tab w:val="num" w:pos="0"/>
        </w:tabs>
        <w:ind w:left="5760" w:hanging="360"/>
      </w:pPr>
      <w:rPr>
        <w:rFonts w:ascii="Courier New" w:hAnsi="Courier New" w:cs="Courier New" w:hint="default"/>
      </w:rPr>
    </w:lvl>
    <w:lvl w:ilvl="8" w:tplc="802CB14E">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1C019AE"/>
    <w:multiLevelType w:val="hybridMultilevel"/>
    <w:tmpl w:val="BAC6BBCE"/>
    <w:lvl w:ilvl="0" w:tplc="709C693C">
      <w:start w:val="1"/>
      <w:numFmt w:val="decimal"/>
      <w:lvlText w:val="%1."/>
      <w:lvlJc w:val="left"/>
      <w:pPr>
        <w:tabs>
          <w:tab w:val="num" w:pos="0"/>
        </w:tabs>
        <w:ind w:left="720" w:hanging="360"/>
      </w:pPr>
    </w:lvl>
    <w:lvl w:ilvl="1" w:tplc="9B76A70C">
      <w:start w:val="1"/>
      <w:numFmt w:val="lowerLetter"/>
      <w:lvlText w:val="%2."/>
      <w:lvlJc w:val="left"/>
      <w:pPr>
        <w:tabs>
          <w:tab w:val="num" w:pos="0"/>
        </w:tabs>
        <w:ind w:left="1440" w:hanging="360"/>
      </w:pPr>
    </w:lvl>
    <w:lvl w:ilvl="2" w:tplc="F3F489B6">
      <w:start w:val="1"/>
      <w:numFmt w:val="lowerRoman"/>
      <w:lvlText w:val="%3."/>
      <w:lvlJc w:val="right"/>
      <w:pPr>
        <w:tabs>
          <w:tab w:val="num" w:pos="0"/>
        </w:tabs>
        <w:ind w:left="2160" w:hanging="180"/>
      </w:pPr>
    </w:lvl>
    <w:lvl w:ilvl="3" w:tplc="A46EBC04">
      <w:start w:val="1"/>
      <w:numFmt w:val="decimal"/>
      <w:lvlText w:val="%4."/>
      <w:lvlJc w:val="left"/>
      <w:pPr>
        <w:tabs>
          <w:tab w:val="num" w:pos="0"/>
        </w:tabs>
        <w:ind w:left="2880" w:hanging="360"/>
      </w:pPr>
    </w:lvl>
    <w:lvl w:ilvl="4" w:tplc="7EE45AC8">
      <w:start w:val="1"/>
      <w:numFmt w:val="lowerLetter"/>
      <w:lvlText w:val="%5."/>
      <w:lvlJc w:val="left"/>
      <w:pPr>
        <w:tabs>
          <w:tab w:val="num" w:pos="0"/>
        </w:tabs>
        <w:ind w:left="3600" w:hanging="360"/>
      </w:pPr>
    </w:lvl>
    <w:lvl w:ilvl="5" w:tplc="27067EFE">
      <w:start w:val="1"/>
      <w:numFmt w:val="lowerRoman"/>
      <w:lvlText w:val="%6."/>
      <w:lvlJc w:val="right"/>
      <w:pPr>
        <w:tabs>
          <w:tab w:val="num" w:pos="0"/>
        </w:tabs>
        <w:ind w:left="4320" w:hanging="180"/>
      </w:pPr>
    </w:lvl>
    <w:lvl w:ilvl="6" w:tplc="59AED22E">
      <w:start w:val="1"/>
      <w:numFmt w:val="decimal"/>
      <w:lvlText w:val="%7."/>
      <w:lvlJc w:val="left"/>
      <w:pPr>
        <w:tabs>
          <w:tab w:val="num" w:pos="0"/>
        </w:tabs>
        <w:ind w:left="5040" w:hanging="360"/>
      </w:pPr>
    </w:lvl>
    <w:lvl w:ilvl="7" w:tplc="E8F0DF5C">
      <w:start w:val="1"/>
      <w:numFmt w:val="lowerLetter"/>
      <w:lvlText w:val="%8."/>
      <w:lvlJc w:val="left"/>
      <w:pPr>
        <w:tabs>
          <w:tab w:val="num" w:pos="0"/>
        </w:tabs>
        <w:ind w:left="5760" w:hanging="360"/>
      </w:pPr>
    </w:lvl>
    <w:lvl w:ilvl="8" w:tplc="4AF03736">
      <w:start w:val="1"/>
      <w:numFmt w:val="lowerRoman"/>
      <w:lvlText w:val="%9."/>
      <w:lvlJc w:val="right"/>
      <w:pPr>
        <w:tabs>
          <w:tab w:val="num" w:pos="0"/>
        </w:tabs>
        <w:ind w:left="6480" w:hanging="180"/>
      </w:pPr>
    </w:lvl>
  </w:abstractNum>
  <w:abstractNum w:abstractNumId="10" w15:restartNumberingAfterBreak="0">
    <w:nsid w:val="125F7339"/>
    <w:multiLevelType w:val="hybridMultilevel"/>
    <w:tmpl w:val="2F10C8E2"/>
    <w:lvl w:ilvl="0" w:tplc="2616782C">
      <w:start w:val="1"/>
      <w:numFmt w:val="decimal"/>
      <w:lvlText w:val="%1."/>
      <w:lvlJc w:val="left"/>
      <w:pPr>
        <w:tabs>
          <w:tab w:val="num" w:pos="0"/>
        </w:tabs>
        <w:ind w:left="720" w:hanging="360"/>
      </w:pPr>
    </w:lvl>
    <w:lvl w:ilvl="1" w:tplc="D326DFB6">
      <w:start w:val="1"/>
      <w:numFmt w:val="lowerLetter"/>
      <w:lvlText w:val="%2."/>
      <w:lvlJc w:val="left"/>
      <w:pPr>
        <w:tabs>
          <w:tab w:val="num" w:pos="0"/>
        </w:tabs>
        <w:ind w:left="1440" w:hanging="360"/>
      </w:pPr>
    </w:lvl>
    <w:lvl w:ilvl="2" w:tplc="076C1CC8">
      <w:start w:val="1"/>
      <w:numFmt w:val="lowerRoman"/>
      <w:lvlText w:val="%3."/>
      <w:lvlJc w:val="right"/>
      <w:pPr>
        <w:tabs>
          <w:tab w:val="num" w:pos="0"/>
        </w:tabs>
        <w:ind w:left="2160" w:hanging="180"/>
      </w:pPr>
    </w:lvl>
    <w:lvl w:ilvl="3" w:tplc="6CE277EC">
      <w:start w:val="1"/>
      <w:numFmt w:val="decimal"/>
      <w:lvlText w:val="%4."/>
      <w:lvlJc w:val="left"/>
      <w:pPr>
        <w:tabs>
          <w:tab w:val="num" w:pos="0"/>
        </w:tabs>
        <w:ind w:left="2880" w:hanging="360"/>
      </w:pPr>
    </w:lvl>
    <w:lvl w:ilvl="4" w:tplc="F7E4670A">
      <w:start w:val="1"/>
      <w:numFmt w:val="lowerLetter"/>
      <w:lvlText w:val="%5."/>
      <w:lvlJc w:val="left"/>
      <w:pPr>
        <w:tabs>
          <w:tab w:val="num" w:pos="0"/>
        </w:tabs>
        <w:ind w:left="3600" w:hanging="360"/>
      </w:pPr>
    </w:lvl>
    <w:lvl w:ilvl="5" w:tplc="55E22ACA">
      <w:start w:val="1"/>
      <w:numFmt w:val="lowerRoman"/>
      <w:lvlText w:val="%6."/>
      <w:lvlJc w:val="right"/>
      <w:pPr>
        <w:tabs>
          <w:tab w:val="num" w:pos="0"/>
        </w:tabs>
        <w:ind w:left="4320" w:hanging="180"/>
      </w:pPr>
    </w:lvl>
    <w:lvl w:ilvl="6" w:tplc="073A96C4">
      <w:start w:val="1"/>
      <w:numFmt w:val="decimal"/>
      <w:lvlText w:val="%7."/>
      <w:lvlJc w:val="left"/>
      <w:pPr>
        <w:tabs>
          <w:tab w:val="num" w:pos="0"/>
        </w:tabs>
        <w:ind w:left="5040" w:hanging="360"/>
      </w:pPr>
    </w:lvl>
    <w:lvl w:ilvl="7" w:tplc="7C646986">
      <w:start w:val="1"/>
      <w:numFmt w:val="lowerLetter"/>
      <w:lvlText w:val="%8."/>
      <w:lvlJc w:val="left"/>
      <w:pPr>
        <w:tabs>
          <w:tab w:val="num" w:pos="0"/>
        </w:tabs>
        <w:ind w:left="5760" w:hanging="360"/>
      </w:pPr>
    </w:lvl>
    <w:lvl w:ilvl="8" w:tplc="D200EE6C">
      <w:start w:val="1"/>
      <w:numFmt w:val="lowerRoman"/>
      <w:lvlText w:val="%9."/>
      <w:lvlJc w:val="right"/>
      <w:pPr>
        <w:tabs>
          <w:tab w:val="num" w:pos="0"/>
        </w:tabs>
        <w:ind w:left="6480" w:hanging="180"/>
      </w:pPr>
    </w:lvl>
  </w:abstractNum>
  <w:abstractNum w:abstractNumId="11" w15:restartNumberingAfterBreak="0">
    <w:nsid w:val="13472BF4"/>
    <w:multiLevelType w:val="hybridMultilevel"/>
    <w:tmpl w:val="DB304724"/>
    <w:lvl w:ilvl="0" w:tplc="BEE6EF00">
      <w:start w:val="1"/>
      <w:numFmt w:val="decimal"/>
      <w:lvlText w:val="%1."/>
      <w:lvlJc w:val="left"/>
      <w:pPr>
        <w:tabs>
          <w:tab w:val="num" w:pos="0"/>
        </w:tabs>
        <w:ind w:left="720" w:hanging="360"/>
      </w:pPr>
    </w:lvl>
    <w:lvl w:ilvl="1" w:tplc="85C40E6E">
      <w:start w:val="1"/>
      <w:numFmt w:val="lowerLetter"/>
      <w:lvlText w:val="%2."/>
      <w:lvlJc w:val="left"/>
      <w:pPr>
        <w:tabs>
          <w:tab w:val="num" w:pos="0"/>
        </w:tabs>
        <w:ind w:left="1440" w:hanging="360"/>
      </w:pPr>
    </w:lvl>
    <w:lvl w:ilvl="2" w:tplc="EEAA7510">
      <w:start w:val="1"/>
      <w:numFmt w:val="lowerRoman"/>
      <w:lvlText w:val="%3."/>
      <w:lvlJc w:val="right"/>
      <w:pPr>
        <w:tabs>
          <w:tab w:val="num" w:pos="0"/>
        </w:tabs>
        <w:ind w:left="2160" w:hanging="180"/>
      </w:pPr>
    </w:lvl>
    <w:lvl w:ilvl="3" w:tplc="81A8897E">
      <w:start w:val="1"/>
      <w:numFmt w:val="decimal"/>
      <w:lvlText w:val="%4."/>
      <w:lvlJc w:val="left"/>
      <w:pPr>
        <w:tabs>
          <w:tab w:val="num" w:pos="0"/>
        </w:tabs>
        <w:ind w:left="2880" w:hanging="360"/>
      </w:pPr>
    </w:lvl>
    <w:lvl w:ilvl="4" w:tplc="502C1B50">
      <w:start w:val="1"/>
      <w:numFmt w:val="lowerLetter"/>
      <w:lvlText w:val="%5."/>
      <w:lvlJc w:val="left"/>
      <w:pPr>
        <w:tabs>
          <w:tab w:val="num" w:pos="0"/>
        </w:tabs>
        <w:ind w:left="3600" w:hanging="360"/>
      </w:pPr>
    </w:lvl>
    <w:lvl w:ilvl="5" w:tplc="4E9E7DFA">
      <w:start w:val="1"/>
      <w:numFmt w:val="lowerRoman"/>
      <w:lvlText w:val="%6."/>
      <w:lvlJc w:val="right"/>
      <w:pPr>
        <w:tabs>
          <w:tab w:val="num" w:pos="0"/>
        </w:tabs>
        <w:ind w:left="4320" w:hanging="180"/>
      </w:pPr>
    </w:lvl>
    <w:lvl w:ilvl="6" w:tplc="7474E38A">
      <w:start w:val="1"/>
      <w:numFmt w:val="decimal"/>
      <w:lvlText w:val="%7."/>
      <w:lvlJc w:val="left"/>
      <w:pPr>
        <w:tabs>
          <w:tab w:val="num" w:pos="0"/>
        </w:tabs>
        <w:ind w:left="5040" w:hanging="360"/>
      </w:pPr>
    </w:lvl>
    <w:lvl w:ilvl="7" w:tplc="DC88D5CC">
      <w:start w:val="1"/>
      <w:numFmt w:val="lowerLetter"/>
      <w:lvlText w:val="%8."/>
      <w:lvlJc w:val="left"/>
      <w:pPr>
        <w:tabs>
          <w:tab w:val="num" w:pos="0"/>
        </w:tabs>
        <w:ind w:left="5760" w:hanging="360"/>
      </w:pPr>
    </w:lvl>
    <w:lvl w:ilvl="8" w:tplc="B27CDDF8">
      <w:start w:val="1"/>
      <w:numFmt w:val="lowerRoman"/>
      <w:lvlText w:val="%9."/>
      <w:lvlJc w:val="right"/>
      <w:pPr>
        <w:tabs>
          <w:tab w:val="num" w:pos="0"/>
        </w:tabs>
        <w:ind w:left="6480" w:hanging="180"/>
      </w:pPr>
    </w:lvl>
  </w:abstractNum>
  <w:abstractNum w:abstractNumId="12" w15:restartNumberingAfterBreak="0">
    <w:nsid w:val="13AC5C5C"/>
    <w:multiLevelType w:val="hybridMultilevel"/>
    <w:tmpl w:val="0ACEBB2C"/>
    <w:lvl w:ilvl="0" w:tplc="15C68CDE">
      <w:start w:val="1"/>
      <w:numFmt w:val="decimal"/>
      <w:lvlText w:val="%1."/>
      <w:lvlJc w:val="left"/>
      <w:pPr>
        <w:tabs>
          <w:tab w:val="num" w:pos="0"/>
        </w:tabs>
        <w:ind w:left="720" w:hanging="360"/>
      </w:pPr>
    </w:lvl>
    <w:lvl w:ilvl="1" w:tplc="CB2C10B6">
      <w:start w:val="1"/>
      <w:numFmt w:val="lowerLetter"/>
      <w:lvlText w:val="%2."/>
      <w:lvlJc w:val="left"/>
      <w:pPr>
        <w:tabs>
          <w:tab w:val="num" w:pos="0"/>
        </w:tabs>
        <w:ind w:left="1440" w:hanging="360"/>
      </w:pPr>
    </w:lvl>
    <w:lvl w:ilvl="2" w:tplc="5EFC75B0">
      <w:start w:val="1"/>
      <w:numFmt w:val="lowerRoman"/>
      <w:lvlText w:val="%3."/>
      <w:lvlJc w:val="right"/>
      <w:pPr>
        <w:tabs>
          <w:tab w:val="num" w:pos="0"/>
        </w:tabs>
        <w:ind w:left="2160" w:hanging="180"/>
      </w:pPr>
    </w:lvl>
    <w:lvl w:ilvl="3" w:tplc="60CE339E">
      <w:start w:val="1"/>
      <w:numFmt w:val="decimal"/>
      <w:lvlText w:val="%4."/>
      <w:lvlJc w:val="left"/>
      <w:pPr>
        <w:tabs>
          <w:tab w:val="num" w:pos="0"/>
        </w:tabs>
        <w:ind w:left="2880" w:hanging="360"/>
      </w:pPr>
    </w:lvl>
    <w:lvl w:ilvl="4" w:tplc="7C261E84">
      <w:start w:val="1"/>
      <w:numFmt w:val="lowerLetter"/>
      <w:lvlText w:val="%5."/>
      <w:lvlJc w:val="left"/>
      <w:pPr>
        <w:tabs>
          <w:tab w:val="num" w:pos="0"/>
        </w:tabs>
        <w:ind w:left="3600" w:hanging="360"/>
      </w:pPr>
    </w:lvl>
    <w:lvl w:ilvl="5" w:tplc="F7AE6B54">
      <w:start w:val="1"/>
      <w:numFmt w:val="lowerRoman"/>
      <w:lvlText w:val="%6."/>
      <w:lvlJc w:val="right"/>
      <w:pPr>
        <w:tabs>
          <w:tab w:val="num" w:pos="0"/>
        </w:tabs>
        <w:ind w:left="4320" w:hanging="180"/>
      </w:pPr>
    </w:lvl>
    <w:lvl w:ilvl="6" w:tplc="F60A8418">
      <w:start w:val="1"/>
      <w:numFmt w:val="decimal"/>
      <w:lvlText w:val="%7."/>
      <w:lvlJc w:val="left"/>
      <w:pPr>
        <w:tabs>
          <w:tab w:val="num" w:pos="0"/>
        </w:tabs>
        <w:ind w:left="5040" w:hanging="360"/>
      </w:pPr>
    </w:lvl>
    <w:lvl w:ilvl="7" w:tplc="230277F6">
      <w:start w:val="1"/>
      <w:numFmt w:val="lowerLetter"/>
      <w:lvlText w:val="%8."/>
      <w:lvlJc w:val="left"/>
      <w:pPr>
        <w:tabs>
          <w:tab w:val="num" w:pos="0"/>
        </w:tabs>
        <w:ind w:left="5760" w:hanging="360"/>
      </w:pPr>
    </w:lvl>
    <w:lvl w:ilvl="8" w:tplc="AF3031E0">
      <w:start w:val="1"/>
      <w:numFmt w:val="lowerRoman"/>
      <w:lvlText w:val="%9."/>
      <w:lvlJc w:val="right"/>
      <w:pPr>
        <w:tabs>
          <w:tab w:val="num" w:pos="0"/>
        </w:tabs>
        <w:ind w:left="6480" w:hanging="180"/>
      </w:pPr>
    </w:lvl>
  </w:abstractNum>
  <w:abstractNum w:abstractNumId="13" w15:restartNumberingAfterBreak="0">
    <w:nsid w:val="1E862C41"/>
    <w:multiLevelType w:val="hybridMultilevel"/>
    <w:tmpl w:val="0F36F8DC"/>
    <w:lvl w:ilvl="0" w:tplc="CDCECBC4">
      <w:start w:val="1"/>
      <w:numFmt w:val="decimal"/>
      <w:lvlText w:val="%1."/>
      <w:lvlJc w:val="left"/>
      <w:pPr>
        <w:tabs>
          <w:tab w:val="num" w:pos="0"/>
        </w:tabs>
        <w:ind w:left="720" w:hanging="360"/>
      </w:pPr>
    </w:lvl>
    <w:lvl w:ilvl="1" w:tplc="B7E8B63A">
      <w:start w:val="1"/>
      <w:numFmt w:val="lowerLetter"/>
      <w:lvlText w:val="%2."/>
      <w:lvlJc w:val="left"/>
      <w:pPr>
        <w:tabs>
          <w:tab w:val="num" w:pos="0"/>
        </w:tabs>
        <w:ind w:left="1440" w:hanging="360"/>
      </w:pPr>
    </w:lvl>
    <w:lvl w:ilvl="2" w:tplc="56DCA6A4">
      <w:start w:val="1"/>
      <w:numFmt w:val="lowerRoman"/>
      <w:lvlText w:val="%3."/>
      <w:lvlJc w:val="right"/>
      <w:pPr>
        <w:tabs>
          <w:tab w:val="num" w:pos="0"/>
        </w:tabs>
        <w:ind w:left="2160" w:hanging="180"/>
      </w:pPr>
    </w:lvl>
    <w:lvl w:ilvl="3" w:tplc="4A7A9FE2">
      <w:start w:val="1"/>
      <w:numFmt w:val="decimal"/>
      <w:lvlText w:val="%4."/>
      <w:lvlJc w:val="left"/>
      <w:pPr>
        <w:tabs>
          <w:tab w:val="num" w:pos="0"/>
        </w:tabs>
        <w:ind w:left="2880" w:hanging="360"/>
      </w:pPr>
    </w:lvl>
    <w:lvl w:ilvl="4" w:tplc="1B60BA00">
      <w:start w:val="1"/>
      <w:numFmt w:val="lowerLetter"/>
      <w:lvlText w:val="%5."/>
      <w:lvlJc w:val="left"/>
      <w:pPr>
        <w:tabs>
          <w:tab w:val="num" w:pos="0"/>
        </w:tabs>
        <w:ind w:left="3600" w:hanging="360"/>
      </w:pPr>
    </w:lvl>
    <w:lvl w:ilvl="5" w:tplc="436CEB6C">
      <w:start w:val="1"/>
      <w:numFmt w:val="lowerRoman"/>
      <w:lvlText w:val="%6."/>
      <w:lvlJc w:val="right"/>
      <w:pPr>
        <w:tabs>
          <w:tab w:val="num" w:pos="0"/>
        </w:tabs>
        <w:ind w:left="4320" w:hanging="180"/>
      </w:pPr>
    </w:lvl>
    <w:lvl w:ilvl="6" w:tplc="2B548FD6">
      <w:start w:val="1"/>
      <w:numFmt w:val="decimal"/>
      <w:lvlText w:val="%7."/>
      <w:lvlJc w:val="left"/>
      <w:pPr>
        <w:tabs>
          <w:tab w:val="num" w:pos="0"/>
        </w:tabs>
        <w:ind w:left="5040" w:hanging="360"/>
      </w:pPr>
    </w:lvl>
    <w:lvl w:ilvl="7" w:tplc="A476C76A">
      <w:start w:val="1"/>
      <w:numFmt w:val="lowerLetter"/>
      <w:lvlText w:val="%8."/>
      <w:lvlJc w:val="left"/>
      <w:pPr>
        <w:tabs>
          <w:tab w:val="num" w:pos="0"/>
        </w:tabs>
        <w:ind w:left="5760" w:hanging="360"/>
      </w:pPr>
    </w:lvl>
    <w:lvl w:ilvl="8" w:tplc="C2EC5A88">
      <w:start w:val="1"/>
      <w:numFmt w:val="lowerRoman"/>
      <w:lvlText w:val="%9."/>
      <w:lvlJc w:val="right"/>
      <w:pPr>
        <w:tabs>
          <w:tab w:val="num" w:pos="0"/>
        </w:tabs>
        <w:ind w:left="6480" w:hanging="180"/>
      </w:pPr>
    </w:lvl>
  </w:abstractNum>
  <w:abstractNum w:abstractNumId="14" w15:restartNumberingAfterBreak="0">
    <w:nsid w:val="1ECD6145"/>
    <w:multiLevelType w:val="hybridMultilevel"/>
    <w:tmpl w:val="E39A0CA2"/>
    <w:lvl w:ilvl="0" w:tplc="218ECF1C">
      <w:start w:val="1"/>
      <w:numFmt w:val="decimal"/>
      <w:lvlText w:val="%1."/>
      <w:lvlJc w:val="left"/>
      <w:pPr>
        <w:tabs>
          <w:tab w:val="num" w:pos="0"/>
        </w:tabs>
        <w:ind w:left="388" w:hanging="360"/>
      </w:pPr>
    </w:lvl>
    <w:lvl w:ilvl="1" w:tplc="EAFEAF1A">
      <w:start w:val="1"/>
      <w:numFmt w:val="lowerLetter"/>
      <w:lvlText w:val="%2."/>
      <w:lvlJc w:val="left"/>
      <w:pPr>
        <w:tabs>
          <w:tab w:val="num" w:pos="0"/>
        </w:tabs>
        <w:ind w:left="1108" w:hanging="360"/>
      </w:pPr>
    </w:lvl>
    <w:lvl w:ilvl="2" w:tplc="FAEE0B56">
      <w:start w:val="1"/>
      <w:numFmt w:val="lowerRoman"/>
      <w:lvlText w:val="%3."/>
      <w:lvlJc w:val="right"/>
      <w:pPr>
        <w:tabs>
          <w:tab w:val="num" w:pos="0"/>
        </w:tabs>
        <w:ind w:left="1828" w:hanging="180"/>
      </w:pPr>
    </w:lvl>
    <w:lvl w:ilvl="3" w:tplc="1CECCB64">
      <w:start w:val="1"/>
      <w:numFmt w:val="decimal"/>
      <w:lvlText w:val="%4."/>
      <w:lvlJc w:val="left"/>
      <w:pPr>
        <w:tabs>
          <w:tab w:val="num" w:pos="0"/>
        </w:tabs>
        <w:ind w:left="2548" w:hanging="360"/>
      </w:pPr>
    </w:lvl>
    <w:lvl w:ilvl="4" w:tplc="37FAED40">
      <w:start w:val="1"/>
      <w:numFmt w:val="lowerLetter"/>
      <w:lvlText w:val="%5."/>
      <w:lvlJc w:val="left"/>
      <w:pPr>
        <w:tabs>
          <w:tab w:val="num" w:pos="0"/>
        </w:tabs>
        <w:ind w:left="3268" w:hanging="360"/>
      </w:pPr>
    </w:lvl>
    <w:lvl w:ilvl="5" w:tplc="381859F4">
      <w:start w:val="1"/>
      <w:numFmt w:val="lowerRoman"/>
      <w:lvlText w:val="%6."/>
      <w:lvlJc w:val="right"/>
      <w:pPr>
        <w:tabs>
          <w:tab w:val="num" w:pos="0"/>
        </w:tabs>
        <w:ind w:left="3988" w:hanging="180"/>
      </w:pPr>
    </w:lvl>
    <w:lvl w:ilvl="6" w:tplc="5EC87876">
      <w:start w:val="1"/>
      <w:numFmt w:val="decimal"/>
      <w:lvlText w:val="%7."/>
      <w:lvlJc w:val="left"/>
      <w:pPr>
        <w:tabs>
          <w:tab w:val="num" w:pos="0"/>
        </w:tabs>
        <w:ind w:left="4708" w:hanging="360"/>
      </w:pPr>
    </w:lvl>
    <w:lvl w:ilvl="7" w:tplc="B0460FB4">
      <w:start w:val="1"/>
      <w:numFmt w:val="lowerLetter"/>
      <w:lvlText w:val="%8."/>
      <w:lvlJc w:val="left"/>
      <w:pPr>
        <w:tabs>
          <w:tab w:val="num" w:pos="0"/>
        </w:tabs>
        <w:ind w:left="5428" w:hanging="360"/>
      </w:pPr>
    </w:lvl>
    <w:lvl w:ilvl="8" w:tplc="EAD8FE70">
      <w:start w:val="1"/>
      <w:numFmt w:val="lowerRoman"/>
      <w:lvlText w:val="%9."/>
      <w:lvlJc w:val="right"/>
      <w:pPr>
        <w:tabs>
          <w:tab w:val="num" w:pos="0"/>
        </w:tabs>
        <w:ind w:left="6148" w:hanging="180"/>
      </w:pPr>
    </w:lvl>
  </w:abstractNum>
  <w:abstractNum w:abstractNumId="15" w15:restartNumberingAfterBreak="0">
    <w:nsid w:val="201041FA"/>
    <w:multiLevelType w:val="hybridMultilevel"/>
    <w:tmpl w:val="BFEE7E62"/>
    <w:lvl w:ilvl="0" w:tplc="E3BC5C78">
      <w:start w:val="1"/>
      <w:numFmt w:val="bullet"/>
      <w:pStyle w:val="2"/>
      <w:lvlText w:val=""/>
      <w:lvlJc w:val="left"/>
      <w:pPr>
        <w:tabs>
          <w:tab w:val="num" w:pos="643"/>
        </w:tabs>
        <w:ind w:left="643" w:hanging="360"/>
      </w:pPr>
      <w:rPr>
        <w:rFonts w:ascii="Symbol" w:hAnsi="Symbol" w:cs="Symbol" w:hint="default"/>
      </w:rPr>
    </w:lvl>
    <w:lvl w:ilvl="1" w:tplc="036A505A">
      <w:start w:val="1"/>
      <w:numFmt w:val="bullet"/>
      <w:lvlText w:val="o"/>
      <w:lvlJc w:val="left"/>
      <w:pPr>
        <w:tabs>
          <w:tab w:val="num" w:pos="0"/>
        </w:tabs>
        <w:ind w:left="1440" w:hanging="360"/>
      </w:pPr>
      <w:rPr>
        <w:rFonts w:ascii="Courier New" w:hAnsi="Courier New" w:cs="Courier New" w:hint="default"/>
      </w:rPr>
    </w:lvl>
    <w:lvl w:ilvl="2" w:tplc="E2CC71CA">
      <w:start w:val="1"/>
      <w:numFmt w:val="bullet"/>
      <w:lvlText w:val="§"/>
      <w:lvlJc w:val="left"/>
      <w:pPr>
        <w:tabs>
          <w:tab w:val="num" w:pos="0"/>
        </w:tabs>
        <w:ind w:left="2160" w:hanging="360"/>
      </w:pPr>
      <w:rPr>
        <w:rFonts w:ascii="Wingdings" w:hAnsi="Wingdings" w:cs="Wingdings" w:hint="default"/>
      </w:rPr>
    </w:lvl>
    <w:lvl w:ilvl="3" w:tplc="B25E5C34">
      <w:start w:val="1"/>
      <w:numFmt w:val="bullet"/>
      <w:lvlText w:val="·"/>
      <w:lvlJc w:val="left"/>
      <w:pPr>
        <w:tabs>
          <w:tab w:val="num" w:pos="0"/>
        </w:tabs>
        <w:ind w:left="2880" w:hanging="360"/>
      </w:pPr>
      <w:rPr>
        <w:rFonts w:ascii="Symbol" w:hAnsi="Symbol" w:cs="Symbol" w:hint="default"/>
      </w:rPr>
    </w:lvl>
    <w:lvl w:ilvl="4" w:tplc="A72CD462">
      <w:start w:val="1"/>
      <w:numFmt w:val="bullet"/>
      <w:lvlText w:val="o"/>
      <w:lvlJc w:val="left"/>
      <w:pPr>
        <w:tabs>
          <w:tab w:val="num" w:pos="0"/>
        </w:tabs>
        <w:ind w:left="3600" w:hanging="360"/>
      </w:pPr>
      <w:rPr>
        <w:rFonts w:ascii="Courier New" w:hAnsi="Courier New" w:cs="Courier New" w:hint="default"/>
      </w:rPr>
    </w:lvl>
    <w:lvl w:ilvl="5" w:tplc="4F1C7946">
      <w:start w:val="1"/>
      <w:numFmt w:val="bullet"/>
      <w:lvlText w:val="§"/>
      <w:lvlJc w:val="left"/>
      <w:pPr>
        <w:tabs>
          <w:tab w:val="num" w:pos="0"/>
        </w:tabs>
        <w:ind w:left="4320" w:hanging="360"/>
      </w:pPr>
      <w:rPr>
        <w:rFonts w:ascii="Wingdings" w:hAnsi="Wingdings" w:cs="Wingdings" w:hint="default"/>
      </w:rPr>
    </w:lvl>
    <w:lvl w:ilvl="6" w:tplc="FB4E7180">
      <w:start w:val="1"/>
      <w:numFmt w:val="bullet"/>
      <w:lvlText w:val="·"/>
      <w:lvlJc w:val="left"/>
      <w:pPr>
        <w:tabs>
          <w:tab w:val="num" w:pos="0"/>
        </w:tabs>
        <w:ind w:left="5040" w:hanging="360"/>
      </w:pPr>
      <w:rPr>
        <w:rFonts w:ascii="Symbol" w:hAnsi="Symbol" w:cs="Symbol" w:hint="default"/>
      </w:rPr>
    </w:lvl>
    <w:lvl w:ilvl="7" w:tplc="DACEB96C">
      <w:start w:val="1"/>
      <w:numFmt w:val="bullet"/>
      <w:lvlText w:val="o"/>
      <w:lvlJc w:val="left"/>
      <w:pPr>
        <w:tabs>
          <w:tab w:val="num" w:pos="0"/>
        </w:tabs>
        <w:ind w:left="5760" w:hanging="360"/>
      </w:pPr>
      <w:rPr>
        <w:rFonts w:ascii="Courier New" w:hAnsi="Courier New" w:cs="Courier New" w:hint="default"/>
      </w:rPr>
    </w:lvl>
    <w:lvl w:ilvl="8" w:tplc="FCDE8FCC">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206E4B42"/>
    <w:multiLevelType w:val="hybridMultilevel"/>
    <w:tmpl w:val="B3AC65A0"/>
    <w:lvl w:ilvl="0" w:tplc="01940398">
      <w:start w:val="1"/>
      <w:numFmt w:val="decimal"/>
      <w:lvlText w:val="%1."/>
      <w:lvlJc w:val="left"/>
      <w:pPr>
        <w:tabs>
          <w:tab w:val="num" w:pos="0"/>
        </w:tabs>
        <w:ind w:left="720" w:hanging="360"/>
      </w:pPr>
    </w:lvl>
    <w:lvl w:ilvl="1" w:tplc="589CBCD8">
      <w:start w:val="1"/>
      <w:numFmt w:val="lowerLetter"/>
      <w:lvlText w:val="%2."/>
      <w:lvlJc w:val="left"/>
      <w:pPr>
        <w:tabs>
          <w:tab w:val="num" w:pos="0"/>
        </w:tabs>
        <w:ind w:left="1440" w:hanging="360"/>
      </w:pPr>
    </w:lvl>
    <w:lvl w:ilvl="2" w:tplc="591C0494">
      <w:start w:val="1"/>
      <w:numFmt w:val="lowerRoman"/>
      <w:lvlText w:val="%3."/>
      <w:lvlJc w:val="right"/>
      <w:pPr>
        <w:tabs>
          <w:tab w:val="num" w:pos="0"/>
        </w:tabs>
        <w:ind w:left="2160" w:hanging="180"/>
      </w:pPr>
    </w:lvl>
    <w:lvl w:ilvl="3" w:tplc="0CC8955C">
      <w:start w:val="1"/>
      <w:numFmt w:val="decimal"/>
      <w:lvlText w:val="%4."/>
      <w:lvlJc w:val="left"/>
      <w:pPr>
        <w:tabs>
          <w:tab w:val="num" w:pos="0"/>
        </w:tabs>
        <w:ind w:left="2880" w:hanging="360"/>
      </w:pPr>
    </w:lvl>
    <w:lvl w:ilvl="4" w:tplc="7D326F24">
      <w:start w:val="1"/>
      <w:numFmt w:val="lowerLetter"/>
      <w:lvlText w:val="%5."/>
      <w:lvlJc w:val="left"/>
      <w:pPr>
        <w:tabs>
          <w:tab w:val="num" w:pos="0"/>
        </w:tabs>
        <w:ind w:left="3600" w:hanging="360"/>
      </w:pPr>
    </w:lvl>
    <w:lvl w:ilvl="5" w:tplc="3D344900">
      <w:start w:val="1"/>
      <w:numFmt w:val="lowerRoman"/>
      <w:lvlText w:val="%6."/>
      <w:lvlJc w:val="right"/>
      <w:pPr>
        <w:tabs>
          <w:tab w:val="num" w:pos="0"/>
        </w:tabs>
        <w:ind w:left="4320" w:hanging="180"/>
      </w:pPr>
    </w:lvl>
    <w:lvl w:ilvl="6" w:tplc="0F4EA5A0">
      <w:start w:val="1"/>
      <w:numFmt w:val="decimal"/>
      <w:lvlText w:val="%7."/>
      <w:lvlJc w:val="left"/>
      <w:pPr>
        <w:tabs>
          <w:tab w:val="num" w:pos="0"/>
        </w:tabs>
        <w:ind w:left="5040" w:hanging="360"/>
      </w:pPr>
    </w:lvl>
    <w:lvl w:ilvl="7" w:tplc="94061028">
      <w:start w:val="1"/>
      <w:numFmt w:val="lowerLetter"/>
      <w:lvlText w:val="%8."/>
      <w:lvlJc w:val="left"/>
      <w:pPr>
        <w:tabs>
          <w:tab w:val="num" w:pos="0"/>
        </w:tabs>
        <w:ind w:left="5760" w:hanging="360"/>
      </w:pPr>
    </w:lvl>
    <w:lvl w:ilvl="8" w:tplc="4894AD3E">
      <w:start w:val="1"/>
      <w:numFmt w:val="lowerRoman"/>
      <w:lvlText w:val="%9."/>
      <w:lvlJc w:val="right"/>
      <w:pPr>
        <w:tabs>
          <w:tab w:val="num" w:pos="0"/>
        </w:tabs>
        <w:ind w:left="6480" w:hanging="180"/>
      </w:pPr>
    </w:lvl>
  </w:abstractNum>
  <w:abstractNum w:abstractNumId="17" w15:restartNumberingAfterBreak="0">
    <w:nsid w:val="228F0D8B"/>
    <w:multiLevelType w:val="hybridMultilevel"/>
    <w:tmpl w:val="8B9E9A9A"/>
    <w:lvl w:ilvl="0" w:tplc="790653EE">
      <w:start w:val="1"/>
      <w:numFmt w:val="decimal"/>
      <w:lvlText w:val="%1."/>
      <w:lvlJc w:val="left"/>
      <w:pPr>
        <w:tabs>
          <w:tab w:val="num" w:pos="0"/>
        </w:tabs>
        <w:ind w:left="720" w:hanging="360"/>
      </w:pPr>
    </w:lvl>
    <w:lvl w:ilvl="1" w:tplc="220A26D6">
      <w:start w:val="1"/>
      <w:numFmt w:val="lowerLetter"/>
      <w:lvlText w:val="%2."/>
      <w:lvlJc w:val="left"/>
      <w:pPr>
        <w:tabs>
          <w:tab w:val="num" w:pos="0"/>
        </w:tabs>
        <w:ind w:left="1440" w:hanging="360"/>
      </w:pPr>
    </w:lvl>
    <w:lvl w:ilvl="2" w:tplc="67EE71C6">
      <w:start w:val="1"/>
      <w:numFmt w:val="lowerRoman"/>
      <w:lvlText w:val="%3."/>
      <w:lvlJc w:val="right"/>
      <w:pPr>
        <w:tabs>
          <w:tab w:val="num" w:pos="0"/>
        </w:tabs>
        <w:ind w:left="2160" w:hanging="180"/>
      </w:pPr>
    </w:lvl>
    <w:lvl w:ilvl="3" w:tplc="2FE49EF0">
      <w:start w:val="1"/>
      <w:numFmt w:val="decimal"/>
      <w:lvlText w:val="%4."/>
      <w:lvlJc w:val="left"/>
      <w:pPr>
        <w:tabs>
          <w:tab w:val="num" w:pos="0"/>
        </w:tabs>
        <w:ind w:left="2880" w:hanging="360"/>
      </w:pPr>
    </w:lvl>
    <w:lvl w:ilvl="4" w:tplc="F7900BE4">
      <w:start w:val="1"/>
      <w:numFmt w:val="lowerLetter"/>
      <w:lvlText w:val="%5."/>
      <w:lvlJc w:val="left"/>
      <w:pPr>
        <w:tabs>
          <w:tab w:val="num" w:pos="0"/>
        </w:tabs>
        <w:ind w:left="3600" w:hanging="360"/>
      </w:pPr>
    </w:lvl>
    <w:lvl w:ilvl="5" w:tplc="64C08558">
      <w:start w:val="1"/>
      <w:numFmt w:val="lowerRoman"/>
      <w:lvlText w:val="%6."/>
      <w:lvlJc w:val="right"/>
      <w:pPr>
        <w:tabs>
          <w:tab w:val="num" w:pos="0"/>
        </w:tabs>
        <w:ind w:left="4320" w:hanging="180"/>
      </w:pPr>
    </w:lvl>
    <w:lvl w:ilvl="6" w:tplc="EE54AA8C">
      <w:start w:val="1"/>
      <w:numFmt w:val="decimal"/>
      <w:lvlText w:val="%7."/>
      <w:lvlJc w:val="left"/>
      <w:pPr>
        <w:tabs>
          <w:tab w:val="num" w:pos="0"/>
        </w:tabs>
        <w:ind w:left="5040" w:hanging="360"/>
      </w:pPr>
    </w:lvl>
    <w:lvl w:ilvl="7" w:tplc="577484B8">
      <w:start w:val="1"/>
      <w:numFmt w:val="lowerLetter"/>
      <w:lvlText w:val="%8."/>
      <w:lvlJc w:val="left"/>
      <w:pPr>
        <w:tabs>
          <w:tab w:val="num" w:pos="0"/>
        </w:tabs>
        <w:ind w:left="5760" w:hanging="360"/>
      </w:pPr>
    </w:lvl>
    <w:lvl w:ilvl="8" w:tplc="FA7AE5E4">
      <w:start w:val="1"/>
      <w:numFmt w:val="lowerRoman"/>
      <w:lvlText w:val="%9."/>
      <w:lvlJc w:val="right"/>
      <w:pPr>
        <w:tabs>
          <w:tab w:val="num" w:pos="0"/>
        </w:tabs>
        <w:ind w:left="6480" w:hanging="180"/>
      </w:pPr>
    </w:lvl>
  </w:abstractNum>
  <w:abstractNum w:abstractNumId="18" w15:restartNumberingAfterBreak="0">
    <w:nsid w:val="229F711F"/>
    <w:multiLevelType w:val="hybridMultilevel"/>
    <w:tmpl w:val="FA180DB8"/>
    <w:lvl w:ilvl="0" w:tplc="B1F6A44C">
      <w:start w:val="1"/>
      <w:numFmt w:val="decimal"/>
      <w:lvlText w:val="%1."/>
      <w:lvlJc w:val="left"/>
      <w:pPr>
        <w:tabs>
          <w:tab w:val="num" w:pos="0"/>
        </w:tabs>
        <w:ind w:left="720" w:hanging="360"/>
      </w:pPr>
    </w:lvl>
    <w:lvl w:ilvl="1" w:tplc="A9F80680">
      <w:start w:val="1"/>
      <w:numFmt w:val="lowerLetter"/>
      <w:lvlText w:val="%2."/>
      <w:lvlJc w:val="left"/>
      <w:pPr>
        <w:tabs>
          <w:tab w:val="num" w:pos="0"/>
        </w:tabs>
        <w:ind w:left="1440" w:hanging="360"/>
      </w:pPr>
    </w:lvl>
    <w:lvl w:ilvl="2" w:tplc="B43855A6">
      <w:start w:val="1"/>
      <w:numFmt w:val="lowerRoman"/>
      <w:lvlText w:val="%3."/>
      <w:lvlJc w:val="right"/>
      <w:pPr>
        <w:tabs>
          <w:tab w:val="num" w:pos="0"/>
        </w:tabs>
        <w:ind w:left="2160" w:hanging="180"/>
      </w:pPr>
    </w:lvl>
    <w:lvl w:ilvl="3" w:tplc="2C98252A">
      <w:start w:val="1"/>
      <w:numFmt w:val="decimal"/>
      <w:lvlText w:val="%4."/>
      <w:lvlJc w:val="left"/>
      <w:pPr>
        <w:tabs>
          <w:tab w:val="num" w:pos="0"/>
        </w:tabs>
        <w:ind w:left="2880" w:hanging="360"/>
      </w:pPr>
    </w:lvl>
    <w:lvl w:ilvl="4" w:tplc="1300243A">
      <w:start w:val="1"/>
      <w:numFmt w:val="lowerLetter"/>
      <w:lvlText w:val="%5."/>
      <w:lvlJc w:val="left"/>
      <w:pPr>
        <w:tabs>
          <w:tab w:val="num" w:pos="0"/>
        </w:tabs>
        <w:ind w:left="3600" w:hanging="360"/>
      </w:pPr>
    </w:lvl>
    <w:lvl w:ilvl="5" w:tplc="177E7BEE">
      <w:start w:val="1"/>
      <w:numFmt w:val="lowerRoman"/>
      <w:lvlText w:val="%6."/>
      <w:lvlJc w:val="right"/>
      <w:pPr>
        <w:tabs>
          <w:tab w:val="num" w:pos="0"/>
        </w:tabs>
        <w:ind w:left="4320" w:hanging="180"/>
      </w:pPr>
    </w:lvl>
    <w:lvl w:ilvl="6" w:tplc="B9D6DB72">
      <w:start w:val="1"/>
      <w:numFmt w:val="decimal"/>
      <w:lvlText w:val="%7."/>
      <w:lvlJc w:val="left"/>
      <w:pPr>
        <w:tabs>
          <w:tab w:val="num" w:pos="0"/>
        </w:tabs>
        <w:ind w:left="5040" w:hanging="360"/>
      </w:pPr>
    </w:lvl>
    <w:lvl w:ilvl="7" w:tplc="60B0D740">
      <w:start w:val="1"/>
      <w:numFmt w:val="lowerLetter"/>
      <w:lvlText w:val="%8."/>
      <w:lvlJc w:val="left"/>
      <w:pPr>
        <w:tabs>
          <w:tab w:val="num" w:pos="0"/>
        </w:tabs>
        <w:ind w:left="5760" w:hanging="360"/>
      </w:pPr>
    </w:lvl>
    <w:lvl w:ilvl="8" w:tplc="5FD4C080">
      <w:start w:val="1"/>
      <w:numFmt w:val="lowerRoman"/>
      <w:lvlText w:val="%9."/>
      <w:lvlJc w:val="right"/>
      <w:pPr>
        <w:tabs>
          <w:tab w:val="num" w:pos="0"/>
        </w:tabs>
        <w:ind w:left="6480" w:hanging="180"/>
      </w:pPr>
    </w:lvl>
  </w:abstractNum>
  <w:abstractNum w:abstractNumId="19" w15:restartNumberingAfterBreak="0">
    <w:nsid w:val="23FA6076"/>
    <w:multiLevelType w:val="hybridMultilevel"/>
    <w:tmpl w:val="AAF647F0"/>
    <w:lvl w:ilvl="0" w:tplc="44165C66">
      <w:start w:val="1"/>
      <w:numFmt w:val="decimal"/>
      <w:lvlText w:val="%1."/>
      <w:lvlJc w:val="left"/>
      <w:pPr>
        <w:tabs>
          <w:tab w:val="num" w:pos="0"/>
        </w:tabs>
        <w:ind w:left="720" w:hanging="360"/>
      </w:pPr>
    </w:lvl>
    <w:lvl w:ilvl="1" w:tplc="42F643C0">
      <w:start w:val="1"/>
      <w:numFmt w:val="lowerLetter"/>
      <w:lvlText w:val="%2."/>
      <w:lvlJc w:val="left"/>
      <w:pPr>
        <w:tabs>
          <w:tab w:val="num" w:pos="0"/>
        </w:tabs>
        <w:ind w:left="1440" w:hanging="360"/>
      </w:pPr>
    </w:lvl>
    <w:lvl w:ilvl="2" w:tplc="870C3B5A">
      <w:start w:val="1"/>
      <w:numFmt w:val="lowerRoman"/>
      <w:lvlText w:val="%3."/>
      <w:lvlJc w:val="right"/>
      <w:pPr>
        <w:tabs>
          <w:tab w:val="num" w:pos="0"/>
        </w:tabs>
        <w:ind w:left="2160" w:hanging="180"/>
      </w:pPr>
    </w:lvl>
    <w:lvl w:ilvl="3" w:tplc="57F016CC">
      <w:start w:val="1"/>
      <w:numFmt w:val="decimal"/>
      <w:lvlText w:val="%4."/>
      <w:lvlJc w:val="left"/>
      <w:pPr>
        <w:tabs>
          <w:tab w:val="num" w:pos="0"/>
        </w:tabs>
        <w:ind w:left="2880" w:hanging="360"/>
      </w:pPr>
    </w:lvl>
    <w:lvl w:ilvl="4" w:tplc="0F08F4C4">
      <w:start w:val="1"/>
      <w:numFmt w:val="lowerLetter"/>
      <w:lvlText w:val="%5."/>
      <w:lvlJc w:val="left"/>
      <w:pPr>
        <w:tabs>
          <w:tab w:val="num" w:pos="0"/>
        </w:tabs>
        <w:ind w:left="3600" w:hanging="360"/>
      </w:pPr>
    </w:lvl>
    <w:lvl w:ilvl="5" w:tplc="8A205C8A">
      <w:start w:val="1"/>
      <w:numFmt w:val="lowerRoman"/>
      <w:lvlText w:val="%6."/>
      <w:lvlJc w:val="right"/>
      <w:pPr>
        <w:tabs>
          <w:tab w:val="num" w:pos="0"/>
        </w:tabs>
        <w:ind w:left="4320" w:hanging="180"/>
      </w:pPr>
    </w:lvl>
    <w:lvl w:ilvl="6" w:tplc="832247A4">
      <w:start w:val="1"/>
      <w:numFmt w:val="decimal"/>
      <w:lvlText w:val="%7."/>
      <w:lvlJc w:val="left"/>
      <w:pPr>
        <w:tabs>
          <w:tab w:val="num" w:pos="0"/>
        </w:tabs>
        <w:ind w:left="5040" w:hanging="360"/>
      </w:pPr>
    </w:lvl>
    <w:lvl w:ilvl="7" w:tplc="B4DC0B38">
      <w:start w:val="1"/>
      <w:numFmt w:val="lowerLetter"/>
      <w:lvlText w:val="%8."/>
      <w:lvlJc w:val="left"/>
      <w:pPr>
        <w:tabs>
          <w:tab w:val="num" w:pos="0"/>
        </w:tabs>
        <w:ind w:left="5760" w:hanging="360"/>
      </w:pPr>
    </w:lvl>
    <w:lvl w:ilvl="8" w:tplc="A3F09EB4">
      <w:start w:val="1"/>
      <w:numFmt w:val="lowerRoman"/>
      <w:lvlText w:val="%9."/>
      <w:lvlJc w:val="right"/>
      <w:pPr>
        <w:tabs>
          <w:tab w:val="num" w:pos="0"/>
        </w:tabs>
        <w:ind w:left="6480" w:hanging="180"/>
      </w:pPr>
    </w:lvl>
  </w:abstractNum>
  <w:abstractNum w:abstractNumId="20" w15:restartNumberingAfterBreak="0">
    <w:nsid w:val="26873784"/>
    <w:multiLevelType w:val="hybridMultilevel"/>
    <w:tmpl w:val="E9724BF4"/>
    <w:lvl w:ilvl="0" w:tplc="55B0B1C2">
      <w:start w:val="1"/>
      <w:numFmt w:val="decimal"/>
      <w:pStyle w:val="a"/>
      <w:lvlText w:val="%1."/>
      <w:lvlJc w:val="left"/>
      <w:pPr>
        <w:tabs>
          <w:tab w:val="num" w:pos="360"/>
        </w:tabs>
        <w:ind w:left="360" w:hanging="360"/>
      </w:pPr>
    </w:lvl>
    <w:lvl w:ilvl="1" w:tplc="169A5B94">
      <w:start w:val="1"/>
      <w:numFmt w:val="bullet"/>
      <w:lvlText w:val="o"/>
      <w:lvlJc w:val="left"/>
      <w:pPr>
        <w:tabs>
          <w:tab w:val="num" w:pos="0"/>
        </w:tabs>
        <w:ind w:left="1440" w:hanging="360"/>
      </w:pPr>
      <w:rPr>
        <w:rFonts w:ascii="Courier New" w:hAnsi="Courier New" w:cs="Courier New" w:hint="default"/>
      </w:rPr>
    </w:lvl>
    <w:lvl w:ilvl="2" w:tplc="A1B8B4D6">
      <w:start w:val="1"/>
      <w:numFmt w:val="bullet"/>
      <w:lvlText w:val="§"/>
      <w:lvlJc w:val="left"/>
      <w:pPr>
        <w:tabs>
          <w:tab w:val="num" w:pos="0"/>
        </w:tabs>
        <w:ind w:left="2160" w:hanging="360"/>
      </w:pPr>
      <w:rPr>
        <w:rFonts w:ascii="Wingdings" w:hAnsi="Wingdings" w:cs="Wingdings" w:hint="default"/>
      </w:rPr>
    </w:lvl>
    <w:lvl w:ilvl="3" w:tplc="117285EA">
      <w:start w:val="1"/>
      <w:numFmt w:val="bullet"/>
      <w:lvlText w:val="·"/>
      <w:lvlJc w:val="left"/>
      <w:pPr>
        <w:tabs>
          <w:tab w:val="num" w:pos="0"/>
        </w:tabs>
        <w:ind w:left="2880" w:hanging="360"/>
      </w:pPr>
      <w:rPr>
        <w:rFonts w:ascii="Symbol" w:hAnsi="Symbol" w:cs="Symbol" w:hint="default"/>
      </w:rPr>
    </w:lvl>
    <w:lvl w:ilvl="4" w:tplc="0A98B8AC">
      <w:start w:val="1"/>
      <w:numFmt w:val="bullet"/>
      <w:lvlText w:val="o"/>
      <w:lvlJc w:val="left"/>
      <w:pPr>
        <w:tabs>
          <w:tab w:val="num" w:pos="0"/>
        </w:tabs>
        <w:ind w:left="3600" w:hanging="360"/>
      </w:pPr>
      <w:rPr>
        <w:rFonts w:ascii="Courier New" w:hAnsi="Courier New" w:cs="Courier New" w:hint="default"/>
      </w:rPr>
    </w:lvl>
    <w:lvl w:ilvl="5" w:tplc="128260EC">
      <w:start w:val="1"/>
      <w:numFmt w:val="bullet"/>
      <w:lvlText w:val="§"/>
      <w:lvlJc w:val="left"/>
      <w:pPr>
        <w:tabs>
          <w:tab w:val="num" w:pos="0"/>
        </w:tabs>
        <w:ind w:left="4320" w:hanging="360"/>
      </w:pPr>
      <w:rPr>
        <w:rFonts w:ascii="Wingdings" w:hAnsi="Wingdings" w:cs="Wingdings" w:hint="default"/>
      </w:rPr>
    </w:lvl>
    <w:lvl w:ilvl="6" w:tplc="AF88A980">
      <w:start w:val="1"/>
      <w:numFmt w:val="bullet"/>
      <w:lvlText w:val="·"/>
      <w:lvlJc w:val="left"/>
      <w:pPr>
        <w:tabs>
          <w:tab w:val="num" w:pos="0"/>
        </w:tabs>
        <w:ind w:left="5040" w:hanging="360"/>
      </w:pPr>
      <w:rPr>
        <w:rFonts w:ascii="Symbol" w:hAnsi="Symbol" w:cs="Symbol" w:hint="default"/>
      </w:rPr>
    </w:lvl>
    <w:lvl w:ilvl="7" w:tplc="36FCCF22">
      <w:start w:val="1"/>
      <w:numFmt w:val="bullet"/>
      <w:lvlText w:val="o"/>
      <w:lvlJc w:val="left"/>
      <w:pPr>
        <w:tabs>
          <w:tab w:val="num" w:pos="0"/>
        </w:tabs>
        <w:ind w:left="5760" w:hanging="360"/>
      </w:pPr>
      <w:rPr>
        <w:rFonts w:ascii="Courier New" w:hAnsi="Courier New" w:cs="Courier New" w:hint="default"/>
      </w:rPr>
    </w:lvl>
    <w:lvl w:ilvl="8" w:tplc="F1027FCC">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294B6903"/>
    <w:multiLevelType w:val="hybridMultilevel"/>
    <w:tmpl w:val="ED602200"/>
    <w:lvl w:ilvl="0" w:tplc="A7A28AAC">
      <w:start w:val="1"/>
      <w:numFmt w:val="decimal"/>
      <w:lvlText w:val="%1."/>
      <w:lvlJc w:val="left"/>
      <w:pPr>
        <w:tabs>
          <w:tab w:val="num" w:pos="0"/>
        </w:tabs>
        <w:ind w:left="720" w:hanging="360"/>
      </w:pPr>
    </w:lvl>
    <w:lvl w:ilvl="1" w:tplc="8D6010CA">
      <w:start w:val="1"/>
      <w:numFmt w:val="lowerLetter"/>
      <w:lvlText w:val="%2."/>
      <w:lvlJc w:val="left"/>
      <w:pPr>
        <w:tabs>
          <w:tab w:val="num" w:pos="0"/>
        </w:tabs>
        <w:ind w:left="1440" w:hanging="360"/>
      </w:pPr>
    </w:lvl>
    <w:lvl w:ilvl="2" w:tplc="671E7572">
      <w:start w:val="1"/>
      <w:numFmt w:val="lowerRoman"/>
      <w:lvlText w:val="%3."/>
      <w:lvlJc w:val="right"/>
      <w:pPr>
        <w:tabs>
          <w:tab w:val="num" w:pos="0"/>
        </w:tabs>
        <w:ind w:left="2160" w:hanging="180"/>
      </w:pPr>
    </w:lvl>
    <w:lvl w:ilvl="3" w:tplc="208AA1EA">
      <w:start w:val="1"/>
      <w:numFmt w:val="decimal"/>
      <w:lvlText w:val="%4."/>
      <w:lvlJc w:val="left"/>
      <w:pPr>
        <w:tabs>
          <w:tab w:val="num" w:pos="0"/>
        </w:tabs>
        <w:ind w:left="2880" w:hanging="360"/>
      </w:pPr>
    </w:lvl>
    <w:lvl w:ilvl="4" w:tplc="0682141A">
      <w:start w:val="1"/>
      <w:numFmt w:val="lowerLetter"/>
      <w:lvlText w:val="%5."/>
      <w:lvlJc w:val="left"/>
      <w:pPr>
        <w:tabs>
          <w:tab w:val="num" w:pos="0"/>
        </w:tabs>
        <w:ind w:left="3600" w:hanging="360"/>
      </w:pPr>
    </w:lvl>
    <w:lvl w:ilvl="5" w:tplc="A7C4A156">
      <w:start w:val="1"/>
      <w:numFmt w:val="lowerRoman"/>
      <w:lvlText w:val="%6."/>
      <w:lvlJc w:val="right"/>
      <w:pPr>
        <w:tabs>
          <w:tab w:val="num" w:pos="0"/>
        </w:tabs>
        <w:ind w:left="4320" w:hanging="180"/>
      </w:pPr>
    </w:lvl>
    <w:lvl w:ilvl="6" w:tplc="DCDA449E">
      <w:start w:val="1"/>
      <w:numFmt w:val="decimal"/>
      <w:lvlText w:val="%7."/>
      <w:lvlJc w:val="left"/>
      <w:pPr>
        <w:tabs>
          <w:tab w:val="num" w:pos="0"/>
        </w:tabs>
        <w:ind w:left="5040" w:hanging="360"/>
      </w:pPr>
    </w:lvl>
    <w:lvl w:ilvl="7" w:tplc="CCE292D6">
      <w:start w:val="1"/>
      <w:numFmt w:val="lowerLetter"/>
      <w:lvlText w:val="%8."/>
      <w:lvlJc w:val="left"/>
      <w:pPr>
        <w:tabs>
          <w:tab w:val="num" w:pos="0"/>
        </w:tabs>
        <w:ind w:left="5760" w:hanging="360"/>
      </w:pPr>
    </w:lvl>
    <w:lvl w:ilvl="8" w:tplc="AB72B9A0">
      <w:start w:val="1"/>
      <w:numFmt w:val="lowerRoman"/>
      <w:lvlText w:val="%9."/>
      <w:lvlJc w:val="right"/>
      <w:pPr>
        <w:tabs>
          <w:tab w:val="num" w:pos="0"/>
        </w:tabs>
        <w:ind w:left="6480" w:hanging="180"/>
      </w:pPr>
    </w:lvl>
  </w:abstractNum>
  <w:abstractNum w:abstractNumId="22" w15:restartNumberingAfterBreak="0">
    <w:nsid w:val="2BFC1D6D"/>
    <w:multiLevelType w:val="hybridMultilevel"/>
    <w:tmpl w:val="46463B56"/>
    <w:lvl w:ilvl="0" w:tplc="CA66274C">
      <w:start w:val="1"/>
      <w:numFmt w:val="decimal"/>
      <w:lvlText w:val="%1."/>
      <w:lvlJc w:val="left"/>
      <w:pPr>
        <w:tabs>
          <w:tab w:val="num" w:pos="0"/>
        </w:tabs>
        <w:ind w:left="720" w:hanging="360"/>
      </w:pPr>
    </w:lvl>
    <w:lvl w:ilvl="1" w:tplc="1A9ACAFC">
      <w:start w:val="1"/>
      <w:numFmt w:val="lowerLetter"/>
      <w:lvlText w:val="%2."/>
      <w:lvlJc w:val="left"/>
      <w:pPr>
        <w:tabs>
          <w:tab w:val="num" w:pos="0"/>
        </w:tabs>
        <w:ind w:left="1440" w:hanging="360"/>
      </w:pPr>
    </w:lvl>
    <w:lvl w:ilvl="2" w:tplc="99BA1342">
      <w:start w:val="1"/>
      <w:numFmt w:val="lowerRoman"/>
      <w:lvlText w:val="%3."/>
      <w:lvlJc w:val="right"/>
      <w:pPr>
        <w:tabs>
          <w:tab w:val="num" w:pos="0"/>
        </w:tabs>
        <w:ind w:left="2160" w:hanging="180"/>
      </w:pPr>
    </w:lvl>
    <w:lvl w:ilvl="3" w:tplc="1DF254A6">
      <w:start w:val="1"/>
      <w:numFmt w:val="decimal"/>
      <w:lvlText w:val="%4."/>
      <w:lvlJc w:val="left"/>
      <w:pPr>
        <w:tabs>
          <w:tab w:val="num" w:pos="0"/>
        </w:tabs>
        <w:ind w:left="2880" w:hanging="360"/>
      </w:pPr>
    </w:lvl>
    <w:lvl w:ilvl="4" w:tplc="DB84D7B4">
      <w:start w:val="1"/>
      <w:numFmt w:val="lowerLetter"/>
      <w:lvlText w:val="%5."/>
      <w:lvlJc w:val="left"/>
      <w:pPr>
        <w:tabs>
          <w:tab w:val="num" w:pos="0"/>
        </w:tabs>
        <w:ind w:left="3600" w:hanging="360"/>
      </w:pPr>
    </w:lvl>
    <w:lvl w:ilvl="5" w:tplc="8CBEC3B4">
      <w:start w:val="1"/>
      <w:numFmt w:val="lowerRoman"/>
      <w:lvlText w:val="%6."/>
      <w:lvlJc w:val="right"/>
      <w:pPr>
        <w:tabs>
          <w:tab w:val="num" w:pos="0"/>
        </w:tabs>
        <w:ind w:left="4320" w:hanging="180"/>
      </w:pPr>
    </w:lvl>
    <w:lvl w:ilvl="6" w:tplc="4B8A6864">
      <w:start w:val="1"/>
      <w:numFmt w:val="decimal"/>
      <w:lvlText w:val="%7."/>
      <w:lvlJc w:val="left"/>
      <w:pPr>
        <w:tabs>
          <w:tab w:val="num" w:pos="0"/>
        </w:tabs>
        <w:ind w:left="5040" w:hanging="360"/>
      </w:pPr>
    </w:lvl>
    <w:lvl w:ilvl="7" w:tplc="3A86A2A0">
      <w:start w:val="1"/>
      <w:numFmt w:val="lowerLetter"/>
      <w:lvlText w:val="%8."/>
      <w:lvlJc w:val="left"/>
      <w:pPr>
        <w:tabs>
          <w:tab w:val="num" w:pos="0"/>
        </w:tabs>
        <w:ind w:left="5760" w:hanging="360"/>
      </w:pPr>
    </w:lvl>
    <w:lvl w:ilvl="8" w:tplc="4B847648">
      <w:start w:val="1"/>
      <w:numFmt w:val="lowerRoman"/>
      <w:lvlText w:val="%9."/>
      <w:lvlJc w:val="right"/>
      <w:pPr>
        <w:tabs>
          <w:tab w:val="num" w:pos="0"/>
        </w:tabs>
        <w:ind w:left="6480" w:hanging="180"/>
      </w:pPr>
    </w:lvl>
  </w:abstractNum>
  <w:abstractNum w:abstractNumId="23" w15:restartNumberingAfterBreak="0">
    <w:nsid w:val="2DA560FD"/>
    <w:multiLevelType w:val="hybridMultilevel"/>
    <w:tmpl w:val="3A7E86D2"/>
    <w:lvl w:ilvl="0" w:tplc="BE9E3536">
      <w:start w:val="1"/>
      <w:numFmt w:val="decimal"/>
      <w:lvlText w:val="%1."/>
      <w:lvlJc w:val="left"/>
      <w:pPr>
        <w:tabs>
          <w:tab w:val="num" w:pos="0"/>
        </w:tabs>
        <w:ind w:left="720" w:hanging="360"/>
      </w:pPr>
    </w:lvl>
    <w:lvl w:ilvl="1" w:tplc="A93A90E6">
      <w:start w:val="1"/>
      <w:numFmt w:val="lowerLetter"/>
      <w:lvlText w:val="%2."/>
      <w:lvlJc w:val="left"/>
      <w:pPr>
        <w:tabs>
          <w:tab w:val="num" w:pos="0"/>
        </w:tabs>
        <w:ind w:left="1440" w:hanging="360"/>
      </w:pPr>
    </w:lvl>
    <w:lvl w:ilvl="2" w:tplc="41E8D0AA">
      <w:start w:val="1"/>
      <w:numFmt w:val="lowerRoman"/>
      <w:lvlText w:val="%3."/>
      <w:lvlJc w:val="right"/>
      <w:pPr>
        <w:tabs>
          <w:tab w:val="num" w:pos="0"/>
        </w:tabs>
        <w:ind w:left="2160" w:hanging="180"/>
      </w:pPr>
    </w:lvl>
    <w:lvl w:ilvl="3" w:tplc="85383C5E">
      <w:start w:val="1"/>
      <w:numFmt w:val="decimal"/>
      <w:lvlText w:val="%4."/>
      <w:lvlJc w:val="left"/>
      <w:pPr>
        <w:tabs>
          <w:tab w:val="num" w:pos="0"/>
        </w:tabs>
        <w:ind w:left="2880" w:hanging="360"/>
      </w:pPr>
    </w:lvl>
    <w:lvl w:ilvl="4" w:tplc="6758089E">
      <w:start w:val="1"/>
      <w:numFmt w:val="lowerLetter"/>
      <w:lvlText w:val="%5."/>
      <w:lvlJc w:val="left"/>
      <w:pPr>
        <w:tabs>
          <w:tab w:val="num" w:pos="0"/>
        </w:tabs>
        <w:ind w:left="3600" w:hanging="360"/>
      </w:pPr>
    </w:lvl>
    <w:lvl w:ilvl="5" w:tplc="05EEFC1A">
      <w:start w:val="1"/>
      <w:numFmt w:val="lowerRoman"/>
      <w:lvlText w:val="%6."/>
      <w:lvlJc w:val="right"/>
      <w:pPr>
        <w:tabs>
          <w:tab w:val="num" w:pos="0"/>
        </w:tabs>
        <w:ind w:left="4320" w:hanging="180"/>
      </w:pPr>
    </w:lvl>
    <w:lvl w:ilvl="6" w:tplc="0E80B9EE">
      <w:start w:val="1"/>
      <w:numFmt w:val="decimal"/>
      <w:lvlText w:val="%7."/>
      <w:lvlJc w:val="left"/>
      <w:pPr>
        <w:tabs>
          <w:tab w:val="num" w:pos="0"/>
        </w:tabs>
        <w:ind w:left="5040" w:hanging="360"/>
      </w:pPr>
    </w:lvl>
    <w:lvl w:ilvl="7" w:tplc="614AAFAC">
      <w:start w:val="1"/>
      <w:numFmt w:val="lowerLetter"/>
      <w:lvlText w:val="%8."/>
      <w:lvlJc w:val="left"/>
      <w:pPr>
        <w:tabs>
          <w:tab w:val="num" w:pos="0"/>
        </w:tabs>
        <w:ind w:left="5760" w:hanging="360"/>
      </w:pPr>
    </w:lvl>
    <w:lvl w:ilvl="8" w:tplc="CE4A82F0">
      <w:start w:val="1"/>
      <w:numFmt w:val="lowerRoman"/>
      <w:lvlText w:val="%9."/>
      <w:lvlJc w:val="right"/>
      <w:pPr>
        <w:tabs>
          <w:tab w:val="num" w:pos="0"/>
        </w:tabs>
        <w:ind w:left="6480" w:hanging="180"/>
      </w:pPr>
    </w:lvl>
  </w:abstractNum>
  <w:abstractNum w:abstractNumId="24" w15:restartNumberingAfterBreak="0">
    <w:nsid w:val="2F4D654E"/>
    <w:multiLevelType w:val="hybridMultilevel"/>
    <w:tmpl w:val="38324B6E"/>
    <w:lvl w:ilvl="0" w:tplc="4286A362">
      <w:start w:val="1"/>
      <w:numFmt w:val="decimal"/>
      <w:lvlText w:val="%1."/>
      <w:lvlJc w:val="left"/>
      <w:pPr>
        <w:tabs>
          <w:tab w:val="num" w:pos="0"/>
        </w:tabs>
        <w:ind w:left="720" w:hanging="360"/>
      </w:pPr>
    </w:lvl>
    <w:lvl w:ilvl="1" w:tplc="58A8AC96">
      <w:start w:val="1"/>
      <w:numFmt w:val="lowerLetter"/>
      <w:lvlText w:val="%2."/>
      <w:lvlJc w:val="left"/>
      <w:pPr>
        <w:tabs>
          <w:tab w:val="num" w:pos="0"/>
        </w:tabs>
        <w:ind w:left="1440" w:hanging="360"/>
      </w:pPr>
    </w:lvl>
    <w:lvl w:ilvl="2" w:tplc="9F146678">
      <w:start w:val="1"/>
      <w:numFmt w:val="lowerRoman"/>
      <w:lvlText w:val="%3."/>
      <w:lvlJc w:val="right"/>
      <w:pPr>
        <w:tabs>
          <w:tab w:val="num" w:pos="0"/>
        </w:tabs>
        <w:ind w:left="2160" w:hanging="180"/>
      </w:pPr>
    </w:lvl>
    <w:lvl w:ilvl="3" w:tplc="97F66564">
      <w:start w:val="1"/>
      <w:numFmt w:val="decimal"/>
      <w:lvlText w:val="%4."/>
      <w:lvlJc w:val="left"/>
      <w:pPr>
        <w:tabs>
          <w:tab w:val="num" w:pos="0"/>
        </w:tabs>
        <w:ind w:left="2880" w:hanging="360"/>
      </w:pPr>
    </w:lvl>
    <w:lvl w:ilvl="4" w:tplc="3B14D768">
      <w:start w:val="1"/>
      <w:numFmt w:val="lowerLetter"/>
      <w:lvlText w:val="%5."/>
      <w:lvlJc w:val="left"/>
      <w:pPr>
        <w:tabs>
          <w:tab w:val="num" w:pos="0"/>
        </w:tabs>
        <w:ind w:left="3600" w:hanging="360"/>
      </w:pPr>
    </w:lvl>
    <w:lvl w:ilvl="5" w:tplc="6EEA637E">
      <w:start w:val="1"/>
      <w:numFmt w:val="lowerRoman"/>
      <w:lvlText w:val="%6."/>
      <w:lvlJc w:val="right"/>
      <w:pPr>
        <w:tabs>
          <w:tab w:val="num" w:pos="0"/>
        </w:tabs>
        <w:ind w:left="4320" w:hanging="180"/>
      </w:pPr>
    </w:lvl>
    <w:lvl w:ilvl="6" w:tplc="460CC186">
      <w:start w:val="1"/>
      <w:numFmt w:val="decimal"/>
      <w:lvlText w:val="%7."/>
      <w:lvlJc w:val="left"/>
      <w:pPr>
        <w:tabs>
          <w:tab w:val="num" w:pos="0"/>
        </w:tabs>
        <w:ind w:left="5040" w:hanging="360"/>
      </w:pPr>
    </w:lvl>
    <w:lvl w:ilvl="7" w:tplc="AF888FE0">
      <w:start w:val="1"/>
      <w:numFmt w:val="lowerLetter"/>
      <w:lvlText w:val="%8."/>
      <w:lvlJc w:val="left"/>
      <w:pPr>
        <w:tabs>
          <w:tab w:val="num" w:pos="0"/>
        </w:tabs>
        <w:ind w:left="5760" w:hanging="360"/>
      </w:pPr>
    </w:lvl>
    <w:lvl w:ilvl="8" w:tplc="ED9AE36C">
      <w:start w:val="1"/>
      <w:numFmt w:val="lowerRoman"/>
      <w:lvlText w:val="%9."/>
      <w:lvlJc w:val="right"/>
      <w:pPr>
        <w:tabs>
          <w:tab w:val="num" w:pos="0"/>
        </w:tabs>
        <w:ind w:left="6480" w:hanging="180"/>
      </w:pPr>
    </w:lvl>
  </w:abstractNum>
  <w:abstractNum w:abstractNumId="25" w15:restartNumberingAfterBreak="0">
    <w:nsid w:val="31AD7D04"/>
    <w:multiLevelType w:val="hybridMultilevel"/>
    <w:tmpl w:val="D15AED30"/>
    <w:lvl w:ilvl="0" w:tplc="DC0EA254">
      <w:start w:val="1"/>
      <w:numFmt w:val="decimal"/>
      <w:lvlText w:val="%1."/>
      <w:lvlJc w:val="left"/>
      <w:pPr>
        <w:tabs>
          <w:tab w:val="num" w:pos="0"/>
        </w:tabs>
        <w:ind w:left="720" w:hanging="360"/>
      </w:pPr>
    </w:lvl>
    <w:lvl w:ilvl="1" w:tplc="FBB266D8">
      <w:start w:val="1"/>
      <w:numFmt w:val="lowerLetter"/>
      <w:lvlText w:val="%2."/>
      <w:lvlJc w:val="left"/>
      <w:pPr>
        <w:tabs>
          <w:tab w:val="num" w:pos="0"/>
        </w:tabs>
        <w:ind w:left="1440" w:hanging="360"/>
      </w:pPr>
    </w:lvl>
    <w:lvl w:ilvl="2" w:tplc="F7B6BC3E">
      <w:start w:val="1"/>
      <w:numFmt w:val="lowerRoman"/>
      <w:lvlText w:val="%3."/>
      <w:lvlJc w:val="right"/>
      <w:pPr>
        <w:tabs>
          <w:tab w:val="num" w:pos="0"/>
        </w:tabs>
        <w:ind w:left="2160" w:hanging="180"/>
      </w:pPr>
    </w:lvl>
    <w:lvl w:ilvl="3" w:tplc="50D690C4">
      <w:start w:val="1"/>
      <w:numFmt w:val="decimal"/>
      <w:lvlText w:val="%4."/>
      <w:lvlJc w:val="left"/>
      <w:pPr>
        <w:tabs>
          <w:tab w:val="num" w:pos="0"/>
        </w:tabs>
        <w:ind w:left="2880" w:hanging="360"/>
      </w:pPr>
    </w:lvl>
    <w:lvl w:ilvl="4" w:tplc="23B8B816">
      <w:start w:val="1"/>
      <w:numFmt w:val="lowerLetter"/>
      <w:lvlText w:val="%5."/>
      <w:lvlJc w:val="left"/>
      <w:pPr>
        <w:tabs>
          <w:tab w:val="num" w:pos="0"/>
        </w:tabs>
        <w:ind w:left="3600" w:hanging="360"/>
      </w:pPr>
    </w:lvl>
    <w:lvl w:ilvl="5" w:tplc="D69E22B4">
      <w:start w:val="1"/>
      <w:numFmt w:val="lowerRoman"/>
      <w:lvlText w:val="%6."/>
      <w:lvlJc w:val="right"/>
      <w:pPr>
        <w:tabs>
          <w:tab w:val="num" w:pos="0"/>
        </w:tabs>
        <w:ind w:left="4320" w:hanging="180"/>
      </w:pPr>
    </w:lvl>
    <w:lvl w:ilvl="6" w:tplc="DB583916">
      <w:start w:val="1"/>
      <w:numFmt w:val="decimal"/>
      <w:lvlText w:val="%7."/>
      <w:lvlJc w:val="left"/>
      <w:pPr>
        <w:tabs>
          <w:tab w:val="num" w:pos="0"/>
        </w:tabs>
        <w:ind w:left="5040" w:hanging="360"/>
      </w:pPr>
    </w:lvl>
    <w:lvl w:ilvl="7" w:tplc="5066C152">
      <w:start w:val="1"/>
      <w:numFmt w:val="lowerLetter"/>
      <w:lvlText w:val="%8."/>
      <w:lvlJc w:val="left"/>
      <w:pPr>
        <w:tabs>
          <w:tab w:val="num" w:pos="0"/>
        </w:tabs>
        <w:ind w:left="5760" w:hanging="360"/>
      </w:pPr>
    </w:lvl>
    <w:lvl w:ilvl="8" w:tplc="E87EA68A">
      <w:start w:val="1"/>
      <w:numFmt w:val="lowerRoman"/>
      <w:lvlText w:val="%9."/>
      <w:lvlJc w:val="right"/>
      <w:pPr>
        <w:tabs>
          <w:tab w:val="num" w:pos="0"/>
        </w:tabs>
        <w:ind w:left="6480" w:hanging="180"/>
      </w:pPr>
    </w:lvl>
  </w:abstractNum>
  <w:abstractNum w:abstractNumId="26" w15:restartNumberingAfterBreak="0">
    <w:nsid w:val="37671DA0"/>
    <w:multiLevelType w:val="hybridMultilevel"/>
    <w:tmpl w:val="6A62B620"/>
    <w:lvl w:ilvl="0" w:tplc="657A8F86">
      <w:start w:val="1"/>
      <w:numFmt w:val="decimal"/>
      <w:lvlText w:val="%1."/>
      <w:lvlJc w:val="left"/>
      <w:pPr>
        <w:tabs>
          <w:tab w:val="num" w:pos="0"/>
        </w:tabs>
        <w:ind w:left="720" w:hanging="360"/>
      </w:pPr>
    </w:lvl>
    <w:lvl w:ilvl="1" w:tplc="9538EF6A">
      <w:start w:val="1"/>
      <w:numFmt w:val="lowerLetter"/>
      <w:lvlText w:val="%2."/>
      <w:lvlJc w:val="left"/>
      <w:pPr>
        <w:tabs>
          <w:tab w:val="num" w:pos="0"/>
        </w:tabs>
        <w:ind w:left="1440" w:hanging="360"/>
      </w:pPr>
    </w:lvl>
    <w:lvl w:ilvl="2" w:tplc="49E89FA8">
      <w:start w:val="1"/>
      <w:numFmt w:val="lowerRoman"/>
      <w:lvlText w:val="%3."/>
      <w:lvlJc w:val="right"/>
      <w:pPr>
        <w:tabs>
          <w:tab w:val="num" w:pos="0"/>
        </w:tabs>
        <w:ind w:left="2160" w:hanging="180"/>
      </w:pPr>
    </w:lvl>
    <w:lvl w:ilvl="3" w:tplc="72B87092">
      <w:start w:val="1"/>
      <w:numFmt w:val="decimal"/>
      <w:lvlText w:val="%4."/>
      <w:lvlJc w:val="left"/>
      <w:pPr>
        <w:tabs>
          <w:tab w:val="num" w:pos="0"/>
        </w:tabs>
        <w:ind w:left="2880" w:hanging="360"/>
      </w:pPr>
    </w:lvl>
    <w:lvl w:ilvl="4" w:tplc="0DAE0BE6">
      <w:start w:val="1"/>
      <w:numFmt w:val="lowerLetter"/>
      <w:lvlText w:val="%5."/>
      <w:lvlJc w:val="left"/>
      <w:pPr>
        <w:tabs>
          <w:tab w:val="num" w:pos="0"/>
        </w:tabs>
        <w:ind w:left="3600" w:hanging="360"/>
      </w:pPr>
    </w:lvl>
    <w:lvl w:ilvl="5" w:tplc="E6FE216A">
      <w:start w:val="1"/>
      <w:numFmt w:val="lowerRoman"/>
      <w:lvlText w:val="%6."/>
      <w:lvlJc w:val="right"/>
      <w:pPr>
        <w:tabs>
          <w:tab w:val="num" w:pos="0"/>
        </w:tabs>
        <w:ind w:left="4320" w:hanging="180"/>
      </w:pPr>
    </w:lvl>
    <w:lvl w:ilvl="6" w:tplc="6226D668">
      <w:start w:val="1"/>
      <w:numFmt w:val="decimal"/>
      <w:lvlText w:val="%7."/>
      <w:lvlJc w:val="left"/>
      <w:pPr>
        <w:tabs>
          <w:tab w:val="num" w:pos="0"/>
        </w:tabs>
        <w:ind w:left="5040" w:hanging="360"/>
      </w:pPr>
    </w:lvl>
    <w:lvl w:ilvl="7" w:tplc="CDD614C2">
      <w:start w:val="1"/>
      <w:numFmt w:val="lowerLetter"/>
      <w:lvlText w:val="%8."/>
      <w:lvlJc w:val="left"/>
      <w:pPr>
        <w:tabs>
          <w:tab w:val="num" w:pos="0"/>
        </w:tabs>
        <w:ind w:left="5760" w:hanging="360"/>
      </w:pPr>
    </w:lvl>
    <w:lvl w:ilvl="8" w:tplc="B4546E36">
      <w:start w:val="1"/>
      <w:numFmt w:val="lowerRoman"/>
      <w:lvlText w:val="%9."/>
      <w:lvlJc w:val="right"/>
      <w:pPr>
        <w:tabs>
          <w:tab w:val="num" w:pos="0"/>
        </w:tabs>
        <w:ind w:left="6480" w:hanging="180"/>
      </w:pPr>
    </w:lvl>
  </w:abstractNum>
  <w:abstractNum w:abstractNumId="27" w15:restartNumberingAfterBreak="0">
    <w:nsid w:val="37946576"/>
    <w:multiLevelType w:val="hybridMultilevel"/>
    <w:tmpl w:val="4714299C"/>
    <w:lvl w:ilvl="0" w:tplc="9D204AA6">
      <w:start w:val="1"/>
      <w:numFmt w:val="decimal"/>
      <w:lvlText w:val="%1."/>
      <w:lvlJc w:val="left"/>
      <w:pPr>
        <w:tabs>
          <w:tab w:val="num" w:pos="0"/>
        </w:tabs>
        <w:ind w:left="720" w:hanging="360"/>
      </w:pPr>
    </w:lvl>
    <w:lvl w:ilvl="1" w:tplc="471A332C">
      <w:start w:val="1"/>
      <w:numFmt w:val="lowerLetter"/>
      <w:lvlText w:val="%2."/>
      <w:lvlJc w:val="left"/>
      <w:pPr>
        <w:tabs>
          <w:tab w:val="num" w:pos="0"/>
        </w:tabs>
        <w:ind w:left="1440" w:hanging="360"/>
      </w:pPr>
    </w:lvl>
    <w:lvl w:ilvl="2" w:tplc="937A1714">
      <w:start w:val="1"/>
      <w:numFmt w:val="lowerRoman"/>
      <w:lvlText w:val="%3."/>
      <w:lvlJc w:val="right"/>
      <w:pPr>
        <w:tabs>
          <w:tab w:val="num" w:pos="0"/>
        </w:tabs>
        <w:ind w:left="2160" w:hanging="180"/>
      </w:pPr>
    </w:lvl>
    <w:lvl w:ilvl="3" w:tplc="A914044A">
      <w:start w:val="1"/>
      <w:numFmt w:val="decimal"/>
      <w:lvlText w:val="%4."/>
      <w:lvlJc w:val="left"/>
      <w:pPr>
        <w:tabs>
          <w:tab w:val="num" w:pos="0"/>
        </w:tabs>
        <w:ind w:left="2880" w:hanging="360"/>
      </w:pPr>
    </w:lvl>
    <w:lvl w:ilvl="4" w:tplc="D69A8168">
      <w:start w:val="1"/>
      <w:numFmt w:val="lowerLetter"/>
      <w:lvlText w:val="%5."/>
      <w:lvlJc w:val="left"/>
      <w:pPr>
        <w:tabs>
          <w:tab w:val="num" w:pos="0"/>
        </w:tabs>
        <w:ind w:left="3600" w:hanging="360"/>
      </w:pPr>
    </w:lvl>
    <w:lvl w:ilvl="5" w:tplc="035061BA">
      <w:start w:val="1"/>
      <w:numFmt w:val="lowerRoman"/>
      <w:lvlText w:val="%6."/>
      <w:lvlJc w:val="right"/>
      <w:pPr>
        <w:tabs>
          <w:tab w:val="num" w:pos="0"/>
        </w:tabs>
        <w:ind w:left="4320" w:hanging="180"/>
      </w:pPr>
    </w:lvl>
    <w:lvl w:ilvl="6" w:tplc="ADBA421C">
      <w:start w:val="1"/>
      <w:numFmt w:val="decimal"/>
      <w:lvlText w:val="%7."/>
      <w:lvlJc w:val="left"/>
      <w:pPr>
        <w:tabs>
          <w:tab w:val="num" w:pos="0"/>
        </w:tabs>
        <w:ind w:left="5040" w:hanging="360"/>
      </w:pPr>
    </w:lvl>
    <w:lvl w:ilvl="7" w:tplc="8CE00072">
      <w:start w:val="1"/>
      <w:numFmt w:val="lowerLetter"/>
      <w:lvlText w:val="%8."/>
      <w:lvlJc w:val="left"/>
      <w:pPr>
        <w:tabs>
          <w:tab w:val="num" w:pos="0"/>
        </w:tabs>
        <w:ind w:left="5760" w:hanging="360"/>
      </w:pPr>
    </w:lvl>
    <w:lvl w:ilvl="8" w:tplc="6212A9DA">
      <w:start w:val="1"/>
      <w:numFmt w:val="lowerRoman"/>
      <w:lvlText w:val="%9."/>
      <w:lvlJc w:val="right"/>
      <w:pPr>
        <w:tabs>
          <w:tab w:val="num" w:pos="0"/>
        </w:tabs>
        <w:ind w:left="6480" w:hanging="180"/>
      </w:pPr>
    </w:lvl>
  </w:abstractNum>
  <w:abstractNum w:abstractNumId="28" w15:restartNumberingAfterBreak="0">
    <w:nsid w:val="3AC41FA4"/>
    <w:multiLevelType w:val="hybridMultilevel"/>
    <w:tmpl w:val="04CAF316"/>
    <w:lvl w:ilvl="0" w:tplc="4A58A99A">
      <w:start w:val="1"/>
      <w:numFmt w:val="decimal"/>
      <w:lvlText w:val="%1."/>
      <w:lvlJc w:val="left"/>
      <w:pPr>
        <w:tabs>
          <w:tab w:val="num" w:pos="0"/>
        </w:tabs>
        <w:ind w:left="720" w:hanging="360"/>
      </w:pPr>
    </w:lvl>
    <w:lvl w:ilvl="1" w:tplc="2376A8E4">
      <w:start w:val="1"/>
      <w:numFmt w:val="lowerLetter"/>
      <w:lvlText w:val="%2."/>
      <w:lvlJc w:val="left"/>
      <w:pPr>
        <w:tabs>
          <w:tab w:val="num" w:pos="0"/>
        </w:tabs>
        <w:ind w:left="1440" w:hanging="360"/>
      </w:pPr>
    </w:lvl>
    <w:lvl w:ilvl="2" w:tplc="D3A05710">
      <w:start w:val="1"/>
      <w:numFmt w:val="lowerRoman"/>
      <w:lvlText w:val="%3."/>
      <w:lvlJc w:val="right"/>
      <w:pPr>
        <w:tabs>
          <w:tab w:val="num" w:pos="0"/>
        </w:tabs>
        <w:ind w:left="2160" w:hanging="180"/>
      </w:pPr>
    </w:lvl>
    <w:lvl w:ilvl="3" w:tplc="6C28B9CC">
      <w:start w:val="1"/>
      <w:numFmt w:val="decimal"/>
      <w:lvlText w:val="%4."/>
      <w:lvlJc w:val="left"/>
      <w:pPr>
        <w:tabs>
          <w:tab w:val="num" w:pos="0"/>
        </w:tabs>
        <w:ind w:left="2880" w:hanging="360"/>
      </w:pPr>
    </w:lvl>
    <w:lvl w:ilvl="4" w:tplc="44DAD30E">
      <w:start w:val="1"/>
      <w:numFmt w:val="lowerLetter"/>
      <w:lvlText w:val="%5."/>
      <w:lvlJc w:val="left"/>
      <w:pPr>
        <w:tabs>
          <w:tab w:val="num" w:pos="0"/>
        </w:tabs>
        <w:ind w:left="3600" w:hanging="360"/>
      </w:pPr>
    </w:lvl>
    <w:lvl w:ilvl="5" w:tplc="53E4D58E">
      <w:start w:val="1"/>
      <w:numFmt w:val="lowerRoman"/>
      <w:lvlText w:val="%6."/>
      <w:lvlJc w:val="right"/>
      <w:pPr>
        <w:tabs>
          <w:tab w:val="num" w:pos="0"/>
        </w:tabs>
        <w:ind w:left="4320" w:hanging="180"/>
      </w:pPr>
    </w:lvl>
    <w:lvl w:ilvl="6" w:tplc="4A60C3EA">
      <w:start w:val="1"/>
      <w:numFmt w:val="decimal"/>
      <w:lvlText w:val="%7."/>
      <w:lvlJc w:val="left"/>
      <w:pPr>
        <w:tabs>
          <w:tab w:val="num" w:pos="0"/>
        </w:tabs>
        <w:ind w:left="5040" w:hanging="360"/>
      </w:pPr>
    </w:lvl>
    <w:lvl w:ilvl="7" w:tplc="A2A4DC62">
      <w:start w:val="1"/>
      <w:numFmt w:val="lowerLetter"/>
      <w:lvlText w:val="%8."/>
      <w:lvlJc w:val="left"/>
      <w:pPr>
        <w:tabs>
          <w:tab w:val="num" w:pos="0"/>
        </w:tabs>
        <w:ind w:left="5760" w:hanging="360"/>
      </w:pPr>
    </w:lvl>
    <w:lvl w:ilvl="8" w:tplc="2C0C4F82">
      <w:start w:val="1"/>
      <w:numFmt w:val="lowerRoman"/>
      <w:lvlText w:val="%9."/>
      <w:lvlJc w:val="right"/>
      <w:pPr>
        <w:tabs>
          <w:tab w:val="num" w:pos="0"/>
        </w:tabs>
        <w:ind w:left="6480" w:hanging="180"/>
      </w:pPr>
    </w:lvl>
  </w:abstractNum>
  <w:abstractNum w:abstractNumId="29" w15:restartNumberingAfterBreak="0">
    <w:nsid w:val="3AEC3EC4"/>
    <w:multiLevelType w:val="hybridMultilevel"/>
    <w:tmpl w:val="603C3B62"/>
    <w:lvl w:ilvl="0" w:tplc="A964EFD4">
      <w:start w:val="1"/>
      <w:numFmt w:val="decimal"/>
      <w:lvlText w:val="%1."/>
      <w:lvlJc w:val="left"/>
      <w:pPr>
        <w:tabs>
          <w:tab w:val="num" w:pos="0"/>
        </w:tabs>
        <w:ind w:left="720" w:hanging="360"/>
      </w:pPr>
    </w:lvl>
    <w:lvl w:ilvl="1" w:tplc="47B67670">
      <w:start w:val="1"/>
      <w:numFmt w:val="lowerLetter"/>
      <w:lvlText w:val="%2."/>
      <w:lvlJc w:val="left"/>
      <w:pPr>
        <w:tabs>
          <w:tab w:val="num" w:pos="0"/>
        </w:tabs>
        <w:ind w:left="1440" w:hanging="360"/>
      </w:pPr>
    </w:lvl>
    <w:lvl w:ilvl="2" w:tplc="0F6869BA">
      <w:start w:val="1"/>
      <w:numFmt w:val="lowerRoman"/>
      <w:lvlText w:val="%3."/>
      <w:lvlJc w:val="right"/>
      <w:pPr>
        <w:tabs>
          <w:tab w:val="num" w:pos="0"/>
        </w:tabs>
        <w:ind w:left="2160" w:hanging="180"/>
      </w:pPr>
    </w:lvl>
    <w:lvl w:ilvl="3" w:tplc="64E405D8">
      <w:start w:val="1"/>
      <w:numFmt w:val="decimal"/>
      <w:lvlText w:val="%4."/>
      <w:lvlJc w:val="left"/>
      <w:pPr>
        <w:tabs>
          <w:tab w:val="num" w:pos="0"/>
        </w:tabs>
        <w:ind w:left="2880" w:hanging="360"/>
      </w:pPr>
    </w:lvl>
    <w:lvl w:ilvl="4" w:tplc="A9C21C76">
      <w:start w:val="1"/>
      <w:numFmt w:val="lowerLetter"/>
      <w:lvlText w:val="%5."/>
      <w:lvlJc w:val="left"/>
      <w:pPr>
        <w:tabs>
          <w:tab w:val="num" w:pos="0"/>
        </w:tabs>
        <w:ind w:left="3600" w:hanging="360"/>
      </w:pPr>
    </w:lvl>
    <w:lvl w:ilvl="5" w:tplc="4AFE5616">
      <w:start w:val="1"/>
      <w:numFmt w:val="lowerRoman"/>
      <w:lvlText w:val="%6."/>
      <w:lvlJc w:val="right"/>
      <w:pPr>
        <w:tabs>
          <w:tab w:val="num" w:pos="0"/>
        </w:tabs>
        <w:ind w:left="4320" w:hanging="180"/>
      </w:pPr>
    </w:lvl>
    <w:lvl w:ilvl="6" w:tplc="15CE0382">
      <w:start w:val="1"/>
      <w:numFmt w:val="decimal"/>
      <w:lvlText w:val="%7."/>
      <w:lvlJc w:val="left"/>
      <w:pPr>
        <w:tabs>
          <w:tab w:val="num" w:pos="0"/>
        </w:tabs>
        <w:ind w:left="5040" w:hanging="360"/>
      </w:pPr>
    </w:lvl>
    <w:lvl w:ilvl="7" w:tplc="D972A290">
      <w:start w:val="1"/>
      <w:numFmt w:val="lowerLetter"/>
      <w:lvlText w:val="%8."/>
      <w:lvlJc w:val="left"/>
      <w:pPr>
        <w:tabs>
          <w:tab w:val="num" w:pos="0"/>
        </w:tabs>
        <w:ind w:left="5760" w:hanging="360"/>
      </w:pPr>
    </w:lvl>
    <w:lvl w:ilvl="8" w:tplc="F38CF4FC">
      <w:start w:val="1"/>
      <w:numFmt w:val="lowerRoman"/>
      <w:lvlText w:val="%9."/>
      <w:lvlJc w:val="right"/>
      <w:pPr>
        <w:tabs>
          <w:tab w:val="num" w:pos="0"/>
        </w:tabs>
        <w:ind w:left="6480" w:hanging="180"/>
      </w:pPr>
    </w:lvl>
  </w:abstractNum>
  <w:abstractNum w:abstractNumId="30" w15:restartNumberingAfterBreak="0">
    <w:nsid w:val="3C850CE4"/>
    <w:multiLevelType w:val="hybridMultilevel"/>
    <w:tmpl w:val="7FECED72"/>
    <w:lvl w:ilvl="0" w:tplc="F3EC3554">
      <w:start w:val="1"/>
      <w:numFmt w:val="decimal"/>
      <w:lvlText w:val="%1."/>
      <w:lvlJc w:val="left"/>
      <w:pPr>
        <w:tabs>
          <w:tab w:val="num" w:pos="0"/>
        </w:tabs>
        <w:ind w:left="720" w:hanging="360"/>
      </w:pPr>
    </w:lvl>
    <w:lvl w:ilvl="1" w:tplc="27240640">
      <w:start w:val="1"/>
      <w:numFmt w:val="lowerLetter"/>
      <w:lvlText w:val="%2."/>
      <w:lvlJc w:val="left"/>
      <w:pPr>
        <w:tabs>
          <w:tab w:val="num" w:pos="0"/>
        </w:tabs>
        <w:ind w:left="1440" w:hanging="360"/>
      </w:pPr>
    </w:lvl>
    <w:lvl w:ilvl="2" w:tplc="3C2A6B72">
      <w:start w:val="1"/>
      <w:numFmt w:val="lowerRoman"/>
      <w:lvlText w:val="%3."/>
      <w:lvlJc w:val="right"/>
      <w:pPr>
        <w:tabs>
          <w:tab w:val="num" w:pos="0"/>
        </w:tabs>
        <w:ind w:left="2160" w:hanging="180"/>
      </w:pPr>
    </w:lvl>
    <w:lvl w:ilvl="3" w:tplc="90745984">
      <w:start w:val="1"/>
      <w:numFmt w:val="decimal"/>
      <w:lvlText w:val="%4."/>
      <w:lvlJc w:val="left"/>
      <w:pPr>
        <w:tabs>
          <w:tab w:val="num" w:pos="0"/>
        </w:tabs>
        <w:ind w:left="2880" w:hanging="360"/>
      </w:pPr>
    </w:lvl>
    <w:lvl w:ilvl="4" w:tplc="98509918">
      <w:start w:val="1"/>
      <w:numFmt w:val="lowerLetter"/>
      <w:lvlText w:val="%5."/>
      <w:lvlJc w:val="left"/>
      <w:pPr>
        <w:tabs>
          <w:tab w:val="num" w:pos="0"/>
        </w:tabs>
        <w:ind w:left="3600" w:hanging="360"/>
      </w:pPr>
    </w:lvl>
    <w:lvl w:ilvl="5" w:tplc="B100E300">
      <w:start w:val="1"/>
      <w:numFmt w:val="lowerRoman"/>
      <w:lvlText w:val="%6."/>
      <w:lvlJc w:val="right"/>
      <w:pPr>
        <w:tabs>
          <w:tab w:val="num" w:pos="0"/>
        </w:tabs>
        <w:ind w:left="4320" w:hanging="180"/>
      </w:pPr>
    </w:lvl>
    <w:lvl w:ilvl="6" w:tplc="1E169FFE">
      <w:start w:val="1"/>
      <w:numFmt w:val="decimal"/>
      <w:lvlText w:val="%7."/>
      <w:lvlJc w:val="left"/>
      <w:pPr>
        <w:tabs>
          <w:tab w:val="num" w:pos="0"/>
        </w:tabs>
        <w:ind w:left="5040" w:hanging="360"/>
      </w:pPr>
    </w:lvl>
    <w:lvl w:ilvl="7" w:tplc="4D5AD8D6">
      <w:start w:val="1"/>
      <w:numFmt w:val="lowerLetter"/>
      <w:lvlText w:val="%8."/>
      <w:lvlJc w:val="left"/>
      <w:pPr>
        <w:tabs>
          <w:tab w:val="num" w:pos="0"/>
        </w:tabs>
        <w:ind w:left="5760" w:hanging="360"/>
      </w:pPr>
    </w:lvl>
    <w:lvl w:ilvl="8" w:tplc="26980022">
      <w:start w:val="1"/>
      <w:numFmt w:val="lowerRoman"/>
      <w:lvlText w:val="%9."/>
      <w:lvlJc w:val="right"/>
      <w:pPr>
        <w:tabs>
          <w:tab w:val="num" w:pos="0"/>
        </w:tabs>
        <w:ind w:left="6480" w:hanging="180"/>
      </w:pPr>
    </w:lvl>
  </w:abstractNum>
  <w:abstractNum w:abstractNumId="31" w15:restartNumberingAfterBreak="0">
    <w:nsid w:val="3ED1097F"/>
    <w:multiLevelType w:val="hybridMultilevel"/>
    <w:tmpl w:val="DDEC3884"/>
    <w:lvl w:ilvl="0" w:tplc="803622DA">
      <w:start w:val="1"/>
      <w:numFmt w:val="decimal"/>
      <w:lvlText w:val="%1."/>
      <w:lvlJc w:val="left"/>
      <w:pPr>
        <w:tabs>
          <w:tab w:val="num" w:pos="0"/>
        </w:tabs>
        <w:ind w:left="720" w:hanging="360"/>
      </w:pPr>
    </w:lvl>
    <w:lvl w:ilvl="1" w:tplc="7310C796">
      <w:start w:val="1"/>
      <w:numFmt w:val="lowerLetter"/>
      <w:lvlText w:val="%2."/>
      <w:lvlJc w:val="left"/>
      <w:pPr>
        <w:tabs>
          <w:tab w:val="num" w:pos="0"/>
        </w:tabs>
        <w:ind w:left="1440" w:hanging="360"/>
      </w:pPr>
    </w:lvl>
    <w:lvl w:ilvl="2" w:tplc="6A56DA52">
      <w:start w:val="1"/>
      <w:numFmt w:val="lowerRoman"/>
      <w:lvlText w:val="%3."/>
      <w:lvlJc w:val="right"/>
      <w:pPr>
        <w:tabs>
          <w:tab w:val="num" w:pos="0"/>
        </w:tabs>
        <w:ind w:left="2160" w:hanging="180"/>
      </w:pPr>
    </w:lvl>
    <w:lvl w:ilvl="3" w:tplc="0EE85534">
      <w:start w:val="1"/>
      <w:numFmt w:val="decimal"/>
      <w:lvlText w:val="%4."/>
      <w:lvlJc w:val="left"/>
      <w:pPr>
        <w:tabs>
          <w:tab w:val="num" w:pos="0"/>
        </w:tabs>
        <w:ind w:left="2880" w:hanging="360"/>
      </w:pPr>
    </w:lvl>
    <w:lvl w:ilvl="4" w:tplc="3782DDE8">
      <w:start w:val="1"/>
      <w:numFmt w:val="lowerLetter"/>
      <w:lvlText w:val="%5."/>
      <w:lvlJc w:val="left"/>
      <w:pPr>
        <w:tabs>
          <w:tab w:val="num" w:pos="0"/>
        </w:tabs>
        <w:ind w:left="3600" w:hanging="360"/>
      </w:pPr>
    </w:lvl>
    <w:lvl w:ilvl="5" w:tplc="C0400AFA">
      <w:start w:val="1"/>
      <w:numFmt w:val="lowerRoman"/>
      <w:lvlText w:val="%6."/>
      <w:lvlJc w:val="right"/>
      <w:pPr>
        <w:tabs>
          <w:tab w:val="num" w:pos="0"/>
        </w:tabs>
        <w:ind w:left="4320" w:hanging="180"/>
      </w:pPr>
    </w:lvl>
    <w:lvl w:ilvl="6" w:tplc="8E8AAE2C">
      <w:start w:val="1"/>
      <w:numFmt w:val="decimal"/>
      <w:lvlText w:val="%7."/>
      <w:lvlJc w:val="left"/>
      <w:pPr>
        <w:tabs>
          <w:tab w:val="num" w:pos="0"/>
        </w:tabs>
        <w:ind w:left="5040" w:hanging="360"/>
      </w:pPr>
    </w:lvl>
    <w:lvl w:ilvl="7" w:tplc="40A8F63E">
      <w:start w:val="1"/>
      <w:numFmt w:val="lowerLetter"/>
      <w:lvlText w:val="%8."/>
      <w:lvlJc w:val="left"/>
      <w:pPr>
        <w:tabs>
          <w:tab w:val="num" w:pos="0"/>
        </w:tabs>
        <w:ind w:left="5760" w:hanging="360"/>
      </w:pPr>
    </w:lvl>
    <w:lvl w:ilvl="8" w:tplc="298A05CC">
      <w:start w:val="1"/>
      <w:numFmt w:val="lowerRoman"/>
      <w:lvlText w:val="%9."/>
      <w:lvlJc w:val="right"/>
      <w:pPr>
        <w:tabs>
          <w:tab w:val="num" w:pos="0"/>
        </w:tabs>
        <w:ind w:left="6480" w:hanging="180"/>
      </w:pPr>
    </w:lvl>
  </w:abstractNum>
  <w:abstractNum w:abstractNumId="32" w15:restartNumberingAfterBreak="0">
    <w:nsid w:val="424172A5"/>
    <w:multiLevelType w:val="hybridMultilevel"/>
    <w:tmpl w:val="DABC01EC"/>
    <w:lvl w:ilvl="0" w:tplc="34922A04">
      <w:start w:val="1"/>
      <w:numFmt w:val="decimal"/>
      <w:pStyle w:val="4"/>
      <w:lvlText w:val="%1."/>
      <w:lvlJc w:val="left"/>
      <w:pPr>
        <w:tabs>
          <w:tab w:val="num" w:pos="1209"/>
        </w:tabs>
        <w:ind w:left="1209" w:hanging="360"/>
      </w:pPr>
    </w:lvl>
    <w:lvl w:ilvl="1" w:tplc="58D2C980">
      <w:start w:val="1"/>
      <w:numFmt w:val="bullet"/>
      <w:lvlText w:val="o"/>
      <w:lvlJc w:val="left"/>
      <w:pPr>
        <w:tabs>
          <w:tab w:val="num" w:pos="0"/>
        </w:tabs>
        <w:ind w:left="1440" w:hanging="360"/>
      </w:pPr>
      <w:rPr>
        <w:rFonts w:ascii="Courier New" w:hAnsi="Courier New" w:cs="Courier New" w:hint="default"/>
      </w:rPr>
    </w:lvl>
    <w:lvl w:ilvl="2" w:tplc="BE764C46">
      <w:start w:val="1"/>
      <w:numFmt w:val="bullet"/>
      <w:lvlText w:val="§"/>
      <w:lvlJc w:val="left"/>
      <w:pPr>
        <w:tabs>
          <w:tab w:val="num" w:pos="0"/>
        </w:tabs>
        <w:ind w:left="2160" w:hanging="360"/>
      </w:pPr>
      <w:rPr>
        <w:rFonts w:ascii="Wingdings" w:hAnsi="Wingdings" w:cs="Wingdings" w:hint="default"/>
      </w:rPr>
    </w:lvl>
    <w:lvl w:ilvl="3" w:tplc="872E6FCA">
      <w:start w:val="1"/>
      <w:numFmt w:val="bullet"/>
      <w:lvlText w:val="·"/>
      <w:lvlJc w:val="left"/>
      <w:pPr>
        <w:tabs>
          <w:tab w:val="num" w:pos="0"/>
        </w:tabs>
        <w:ind w:left="2880" w:hanging="360"/>
      </w:pPr>
      <w:rPr>
        <w:rFonts w:ascii="Symbol" w:hAnsi="Symbol" w:cs="Symbol" w:hint="default"/>
      </w:rPr>
    </w:lvl>
    <w:lvl w:ilvl="4" w:tplc="02F6FC14">
      <w:start w:val="1"/>
      <w:numFmt w:val="bullet"/>
      <w:lvlText w:val="o"/>
      <w:lvlJc w:val="left"/>
      <w:pPr>
        <w:tabs>
          <w:tab w:val="num" w:pos="0"/>
        </w:tabs>
        <w:ind w:left="3600" w:hanging="360"/>
      </w:pPr>
      <w:rPr>
        <w:rFonts w:ascii="Courier New" w:hAnsi="Courier New" w:cs="Courier New" w:hint="default"/>
      </w:rPr>
    </w:lvl>
    <w:lvl w:ilvl="5" w:tplc="4BBE1B28">
      <w:start w:val="1"/>
      <w:numFmt w:val="bullet"/>
      <w:lvlText w:val="§"/>
      <w:lvlJc w:val="left"/>
      <w:pPr>
        <w:tabs>
          <w:tab w:val="num" w:pos="0"/>
        </w:tabs>
        <w:ind w:left="4320" w:hanging="360"/>
      </w:pPr>
      <w:rPr>
        <w:rFonts w:ascii="Wingdings" w:hAnsi="Wingdings" w:cs="Wingdings" w:hint="default"/>
      </w:rPr>
    </w:lvl>
    <w:lvl w:ilvl="6" w:tplc="1BE43DC0">
      <w:start w:val="1"/>
      <w:numFmt w:val="bullet"/>
      <w:lvlText w:val="·"/>
      <w:lvlJc w:val="left"/>
      <w:pPr>
        <w:tabs>
          <w:tab w:val="num" w:pos="0"/>
        </w:tabs>
        <w:ind w:left="5040" w:hanging="360"/>
      </w:pPr>
      <w:rPr>
        <w:rFonts w:ascii="Symbol" w:hAnsi="Symbol" w:cs="Symbol" w:hint="default"/>
      </w:rPr>
    </w:lvl>
    <w:lvl w:ilvl="7" w:tplc="4840446E">
      <w:start w:val="1"/>
      <w:numFmt w:val="bullet"/>
      <w:lvlText w:val="o"/>
      <w:lvlJc w:val="left"/>
      <w:pPr>
        <w:tabs>
          <w:tab w:val="num" w:pos="0"/>
        </w:tabs>
        <w:ind w:left="5760" w:hanging="360"/>
      </w:pPr>
      <w:rPr>
        <w:rFonts w:ascii="Courier New" w:hAnsi="Courier New" w:cs="Courier New" w:hint="default"/>
      </w:rPr>
    </w:lvl>
    <w:lvl w:ilvl="8" w:tplc="8A6E48AE">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443D2A3A"/>
    <w:multiLevelType w:val="hybridMultilevel"/>
    <w:tmpl w:val="504C01D8"/>
    <w:lvl w:ilvl="0" w:tplc="F73201A6">
      <w:start w:val="1"/>
      <w:numFmt w:val="bullet"/>
      <w:pStyle w:val="40"/>
      <w:lvlText w:val=""/>
      <w:lvlJc w:val="left"/>
      <w:pPr>
        <w:tabs>
          <w:tab w:val="num" w:pos="1209"/>
        </w:tabs>
        <w:ind w:left="1209" w:hanging="360"/>
      </w:pPr>
      <w:rPr>
        <w:rFonts w:ascii="Symbol" w:hAnsi="Symbol" w:cs="Symbol" w:hint="default"/>
      </w:rPr>
    </w:lvl>
    <w:lvl w:ilvl="1" w:tplc="7B54ABFA">
      <w:start w:val="1"/>
      <w:numFmt w:val="bullet"/>
      <w:lvlText w:val="o"/>
      <w:lvlJc w:val="left"/>
      <w:pPr>
        <w:tabs>
          <w:tab w:val="num" w:pos="0"/>
        </w:tabs>
        <w:ind w:left="1440" w:hanging="360"/>
      </w:pPr>
      <w:rPr>
        <w:rFonts w:ascii="Courier New" w:hAnsi="Courier New" w:cs="Courier New" w:hint="default"/>
      </w:rPr>
    </w:lvl>
    <w:lvl w:ilvl="2" w:tplc="34B0C7E4">
      <w:start w:val="1"/>
      <w:numFmt w:val="bullet"/>
      <w:lvlText w:val="§"/>
      <w:lvlJc w:val="left"/>
      <w:pPr>
        <w:tabs>
          <w:tab w:val="num" w:pos="0"/>
        </w:tabs>
        <w:ind w:left="2160" w:hanging="360"/>
      </w:pPr>
      <w:rPr>
        <w:rFonts w:ascii="Wingdings" w:hAnsi="Wingdings" w:cs="Wingdings" w:hint="default"/>
      </w:rPr>
    </w:lvl>
    <w:lvl w:ilvl="3" w:tplc="F0267A78">
      <w:start w:val="1"/>
      <w:numFmt w:val="bullet"/>
      <w:lvlText w:val="·"/>
      <w:lvlJc w:val="left"/>
      <w:pPr>
        <w:tabs>
          <w:tab w:val="num" w:pos="0"/>
        </w:tabs>
        <w:ind w:left="2880" w:hanging="360"/>
      </w:pPr>
      <w:rPr>
        <w:rFonts w:ascii="Symbol" w:hAnsi="Symbol" w:cs="Symbol" w:hint="default"/>
      </w:rPr>
    </w:lvl>
    <w:lvl w:ilvl="4" w:tplc="ED848FEE">
      <w:start w:val="1"/>
      <w:numFmt w:val="bullet"/>
      <w:lvlText w:val="o"/>
      <w:lvlJc w:val="left"/>
      <w:pPr>
        <w:tabs>
          <w:tab w:val="num" w:pos="0"/>
        </w:tabs>
        <w:ind w:left="3600" w:hanging="360"/>
      </w:pPr>
      <w:rPr>
        <w:rFonts w:ascii="Courier New" w:hAnsi="Courier New" w:cs="Courier New" w:hint="default"/>
      </w:rPr>
    </w:lvl>
    <w:lvl w:ilvl="5" w:tplc="364EA478">
      <w:start w:val="1"/>
      <w:numFmt w:val="bullet"/>
      <w:lvlText w:val="§"/>
      <w:lvlJc w:val="left"/>
      <w:pPr>
        <w:tabs>
          <w:tab w:val="num" w:pos="0"/>
        </w:tabs>
        <w:ind w:left="4320" w:hanging="360"/>
      </w:pPr>
      <w:rPr>
        <w:rFonts w:ascii="Wingdings" w:hAnsi="Wingdings" w:cs="Wingdings" w:hint="default"/>
      </w:rPr>
    </w:lvl>
    <w:lvl w:ilvl="6" w:tplc="3BA45F54">
      <w:start w:val="1"/>
      <w:numFmt w:val="bullet"/>
      <w:lvlText w:val="·"/>
      <w:lvlJc w:val="left"/>
      <w:pPr>
        <w:tabs>
          <w:tab w:val="num" w:pos="0"/>
        </w:tabs>
        <w:ind w:left="5040" w:hanging="360"/>
      </w:pPr>
      <w:rPr>
        <w:rFonts w:ascii="Symbol" w:hAnsi="Symbol" w:cs="Symbol" w:hint="default"/>
      </w:rPr>
    </w:lvl>
    <w:lvl w:ilvl="7" w:tplc="80E08B0E">
      <w:start w:val="1"/>
      <w:numFmt w:val="bullet"/>
      <w:lvlText w:val="o"/>
      <w:lvlJc w:val="left"/>
      <w:pPr>
        <w:tabs>
          <w:tab w:val="num" w:pos="0"/>
        </w:tabs>
        <w:ind w:left="5760" w:hanging="360"/>
      </w:pPr>
      <w:rPr>
        <w:rFonts w:ascii="Courier New" w:hAnsi="Courier New" w:cs="Courier New" w:hint="default"/>
      </w:rPr>
    </w:lvl>
    <w:lvl w:ilvl="8" w:tplc="034A7216">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6527BB9"/>
    <w:multiLevelType w:val="hybridMultilevel"/>
    <w:tmpl w:val="95BA79BC"/>
    <w:lvl w:ilvl="0" w:tplc="B7FCC112">
      <w:start w:val="1"/>
      <w:numFmt w:val="decimal"/>
      <w:pStyle w:val="50"/>
      <w:lvlText w:val="%1."/>
      <w:lvlJc w:val="left"/>
      <w:pPr>
        <w:tabs>
          <w:tab w:val="num" w:pos="1492"/>
        </w:tabs>
        <w:ind w:left="1492" w:hanging="360"/>
      </w:pPr>
    </w:lvl>
    <w:lvl w:ilvl="1" w:tplc="7BACD396">
      <w:start w:val="1"/>
      <w:numFmt w:val="bullet"/>
      <w:lvlText w:val="o"/>
      <w:lvlJc w:val="left"/>
      <w:pPr>
        <w:tabs>
          <w:tab w:val="num" w:pos="0"/>
        </w:tabs>
        <w:ind w:left="1440" w:hanging="360"/>
      </w:pPr>
      <w:rPr>
        <w:rFonts w:ascii="Courier New" w:hAnsi="Courier New" w:cs="Courier New" w:hint="default"/>
      </w:rPr>
    </w:lvl>
    <w:lvl w:ilvl="2" w:tplc="B78AC772">
      <w:start w:val="1"/>
      <w:numFmt w:val="bullet"/>
      <w:lvlText w:val="§"/>
      <w:lvlJc w:val="left"/>
      <w:pPr>
        <w:tabs>
          <w:tab w:val="num" w:pos="0"/>
        </w:tabs>
        <w:ind w:left="2160" w:hanging="360"/>
      </w:pPr>
      <w:rPr>
        <w:rFonts w:ascii="Wingdings" w:hAnsi="Wingdings" w:cs="Wingdings" w:hint="default"/>
      </w:rPr>
    </w:lvl>
    <w:lvl w:ilvl="3" w:tplc="DF0206C0">
      <w:start w:val="1"/>
      <w:numFmt w:val="bullet"/>
      <w:lvlText w:val="·"/>
      <w:lvlJc w:val="left"/>
      <w:pPr>
        <w:tabs>
          <w:tab w:val="num" w:pos="0"/>
        </w:tabs>
        <w:ind w:left="2880" w:hanging="360"/>
      </w:pPr>
      <w:rPr>
        <w:rFonts w:ascii="Symbol" w:hAnsi="Symbol" w:cs="Symbol" w:hint="default"/>
      </w:rPr>
    </w:lvl>
    <w:lvl w:ilvl="4" w:tplc="562078AE">
      <w:start w:val="1"/>
      <w:numFmt w:val="bullet"/>
      <w:lvlText w:val="o"/>
      <w:lvlJc w:val="left"/>
      <w:pPr>
        <w:tabs>
          <w:tab w:val="num" w:pos="0"/>
        </w:tabs>
        <w:ind w:left="3600" w:hanging="360"/>
      </w:pPr>
      <w:rPr>
        <w:rFonts w:ascii="Courier New" w:hAnsi="Courier New" w:cs="Courier New" w:hint="default"/>
      </w:rPr>
    </w:lvl>
    <w:lvl w:ilvl="5" w:tplc="36F0091C">
      <w:start w:val="1"/>
      <w:numFmt w:val="bullet"/>
      <w:lvlText w:val="§"/>
      <w:lvlJc w:val="left"/>
      <w:pPr>
        <w:tabs>
          <w:tab w:val="num" w:pos="0"/>
        </w:tabs>
        <w:ind w:left="4320" w:hanging="360"/>
      </w:pPr>
      <w:rPr>
        <w:rFonts w:ascii="Wingdings" w:hAnsi="Wingdings" w:cs="Wingdings" w:hint="default"/>
      </w:rPr>
    </w:lvl>
    <w:lvl w:ilvl="6" w:tplc="B22497D4">
      <w:start w:val="1"/>
      <w:numFmt w:val="bullet"/>
      <w:lvlText w:val="·"/>
      <w:lvlJc w:val="left"/>
      <w:pPr>
        <w:tabs>
          <w:tab w:val="num" w:pos="0"/>
        </w:tabs>
        <w:ind w:left="5040" w:hanging="360"/>
      </w:pPr>
      <w:rPr>
        <w:rFonts w:ascii="Symbol" w:hAnsi="Symbol" w:cs="Symbol" w:hint="default"/>
      </w:rPr>
    </w:lvl>
    <w:lvl w:ilvl="7" w:tplc="1FA6952E">
      <w:start w:val="1"/>
      <w:numFmt w:val="bullet"/>
      <w:lvlText w:val="o"/>
      <w:lvlJc w:val="left"/>
      <w:pPr>
        <w:tabs>
          <w:tab w:val="num" w:pos="0"/>
        </w:tabs>
        <w:ind w:left="5760" w:hanging="360"/>
      </w:pPr>
      <w:rPr>
        <w:rFonts w:ascii="Courier New" w:hAnsi="Courier New" w:cs="Courier New" w:hint="default"/>
      </w:rPr>
    </w:lvl>
    <w:lvl w:ilvl="8" w:tplc="AB1025EE">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7C21B75"/>
    <w:multiLevelType w:val="hybridMultilevel"/>
    <w:tmpl w:val="233AE08C"/>
    <w:lvl w:ilvl="0" w:tplc="1F568AAA">
      <w:start w:val="1"/>
      <w:numFmt w:val="decimal"/>
      <w:lvlText w:val="%1."/>
      <w:lvlJc w:val="left"/>
      <w:pPr>
        <w:tabs>
          <w:tab w:val="num" w:pos="0"/>
        </w:tabs>
        <w:ind w:left="720" w:hanging="360"/>
      </w:pPr>
    </w:lvl>
    <w:lvl w:ilvl="1" w:tplc="177422E2">
      <w:start w:val="1"/>
      <w:numFmt w:val="lowerLetter"/>
      <w:lvlText w:val="%2."/>
      <w:lvlJc w:val="left"/>
      <w:pPr>
        <w:tabs>
          <w:tab w:val="num" w:pos="0"/>
        </w:tabs>
        <w:ind w:left="1440" w:hanging="360"/>
      </w:pPr>
    </w:lvl>
    <w:lvl w:ilvl="2" w:tplc="BAE6B41C">
      <w:start w:val="1"/>
      <w:numFmt w:val="lowerRoman"/>
      <w:lvlText w:val="%3."/>
      <w:lvlJc w:val="right"/>
      <w:pPr>
        <w:tabs>
          <w:tab w:val="num" w:pos="0"/>
        </w:tabs>
        <w:ind w:left="2160" w:hanging="180"/>
      </w:pPr>
    </w:lvl>
    <w:lvl w:ilvl="3" w:tplc="2DDEE57C">
      <w:start w:val="1"/>
      <w:numFmt w:val="decimal"/>
      <w:lvlText w:val="%4."/>
      <w:lvlJc w:val="left"/>
      <w:pPr>
        <w:tabs>
          <w:tab w:val="num" w:pos="0"/>
        </w:tabs>
        <w:ind w:left="2880" w:hanging="360"/>
      </w:pPr>
    </w:lvl>
    <w:lvl w:ilvl="4" w:tplc="589E16D4">
      <w:start w:val="1"/>
      <w:numFmt w:val="lowerLetter"/>
      <w:lvlText w:val="%5."/>
      <w:lvlJc w:val="left"/>
      <w:pPr>
        <w:tabs>
          <w:tab w:val="num" w:pos="0"/>
        </w:tabs>
        <w:ind w:left="3600" w:hanging="360"/>
      </w:pPr>
    </w:lvl>
    <w:lvl w:ilvl="5" w:tplc="0E08C6A6">
      <w:start w:val="1"/>
      <w:numFmt w:val="lowerRoman"/>
      <w:lvlText w:val="%6."/>
      <w:lvlJc w:val="right"/>
      <w:pPr>
        <w:tabs>
          <w:tab w:val="num" w:pos="0"/>
        </w:tabs>
        <w:ind w:left="4320" w:hanging="180"/>
      </w:pPr>
    </w:lvl>
    <w:lvl w:ilvl="6" w:tplc="5B9CF454">
      <w:start w:val="1"/>
      <w:numFmt w:val="decimal"/>
      <w:lvlText w:val="%7."/>
      <w:lvlJc w:val="left"/>
      <w:pPr>
        <w:tabs>
          <w:tab w:val="num" w:pos="0"/>
        </w:tabs>
        <w:ind w:left="5040" w:hanging="360"/>
      </w:pPr>
    </w:lvl>
    <w:lvl w:ilvl="7" w:tplc="F00801A0">
      <w:start w:val="1"/>
      <w:numFmt w:val="lowerLetter"/>
      <w:lvlText w:val="%8."/>
      <w:lvlJc w:val="left"/>
      <w:pPr>
        <w:tabs>
          <w:tab w:val="num" w:pos="0"/>
        </w:tabs>
        <w:ind w:left="5760" w:hanging="360"/>
      </w:pPr>
    </w:lvl>
    <w:lvl w:ilvl="8" w:tplc="97003E5C">
      <w:start w:val="1"/>
      <w:numFmt w:val="lowerRoman"/>
      <w:lvlText w:val="%9."/>
      <w:lvlJc w:val="right"/>
      <w:pPr>
        <w:tabs>
          <w:tab w:val="num" w:pos="0"/>
        </w:tabs>
        <w:ind w:left="6480" w:hanging="180"/>
      </w:pPr>
    </w:lvl>
  </w:abstractNum>
  <w:abstractNum w:abstractNumId="36" w15:restartNumberingAfterBreak="0">
    <w:nsid w:val="48F948C4"/>
    <w:multiLevelType w:val="hybridMultilevel"/>
    <w:tmpl w:val="A83227AE"/>
    <w:lvl w:ilvl="0" w:tplc="90CA2C58">
      <w:start w:val="1"/>
      <w:numFmt w:val="decimal"/>
      <w:lvlText w:val="%1."/>
      <w:lvlJc w:val="left"/>
      <w:pPr>
        <w:tabs>
          <w:tab w:val="num" w:pos="0"/>
        </w:tabs>
        <w:ind w:left="720" w:hanging="360"/>
      </w:pPr>
    </w:lvl>
    <w:lvl w:ilvl="1" w:tplc="9FE6C3A8">
      <w:start w:val="1"/>
      <w:numFmt w:val="lowerLetter"/>
      <w:lvlText w:val="%2."/>
      <w:lvlJc w:val="left"/>
      <w:pPr>
        <w:tabs>
          <w:tab w:val="num" w:pos="0"/>
        </w:tabs>
        <w:ind w:left="1440" w:hanging="360"/>
      </w:pPr>
    </w:lvl>
    <w:lvl w:ilvl="2" w:tplc="B46400F0">
      <w:start w:val="1"/>
      <w:numFmt w:val="lowerRoman"/>
      <w:lvlText w:val="%3."/>
      <w:lvlJc w:val="right"/>
      <w:pPr>
        <w:tabs>
          <w:tab w:val="num" w:pos="0"/>
        </w:tabs>
        <w:ind w:left="2160" w:hanging="180"/>
      </w:pPr>
    </w:lvl>
    <w:lvl w:ilvl="3" w:tplc="3FCAA78E">
      <w:start w:val="1"/>
      <w:numFmt w:val="decimal"/>
      <w:lvlText w:val="%4."/>
      <w:lvlJc w:val="left"/>
      <w:pPr>
        <w:tabs>
          <w:tab w:val="num" w:pos="0"/>
        </w:tabs>
        <w:ind w:left="2880" w:hanging="360"/>
      </w:pPr>
    </w:lvl>
    <w:lvl w:ilvl="4" w:tplc="5D66A71C">
      <w:start w:val="1"/>
      <w:numFmt w:val="lowerLetter"/>
      <w:lvlText w:val="%5."/>
      <w:lvlJc w:val="left"/>
      <w:pPr>
        <w:tabs>
          <w:tab w:val="num" w:pos="0"/>
        </w:tabs>
        <w:ind w:left="3600" w:hanging="360"/>
      </w:pPr>
    </w:lvl>
    <w:lvl w:ilvl="5" w:tplc="697A0746">
      <w:start w:val="1"/>
      <w:numFmt w:val="lowerRoman"/>
      <w:lvlText w:val="%6."/>
      <w:lvlJc w:val="right"/>
      <w:pPr>
        <w:tabs>
          <w:tab w:val="num" w:pos="0"/>
        </w:tabs>
        <w:ind w:left="4320" w:hanging="180"/>
      </w:pPr>
    </w:lvl>
    <w:lvl w:ilvl="6" w:tplc="5082DF08">
      <w:start w:val="1"/>
      <w:numFmt w:val="decimal"/>
      <w:lvlText w:val="%7."/>
      <w:lvlJc w:val="left"/>
      <w:pPr>
        <w:tabs>
          <w:tab w:val="num" w:pos="0"/>
        </w:tabs>
        <w:ind w:left="5040" w:hanging="360"/>
      </w:pPr>
    </w:lvl>
    <w:lvl w:ilvl="7" w:tplc="ECD66BD6">
      <w:start w:val="1"/>
      <w:numFmt w:val="lowerLetter"/>
      <w:lvlText w:val="%8."/>
      <w:lvlJc w:val="left"/>
      <w:pPr>
        <w:tabs>
          <w:tab w:val="num" w:pos="0"/>
        </w:tabs>
        <w:ind w:left="5760" w:hanging="360"/>
      </w:pPr>
    </w:lvl>
    <w:lvl w:ilvl="8" w:tplc="55B8C3A4">
      <w:start w:val="1"/>
      <w:numFmt w:val="lowerRoman"/>
      <w:lvlText w:val="%9."/>
      <w:lvlJc w:val="right"/>
      <w:pPr>
        <w:tabs>
          <w:tab w:val="num" w:pos="0"/>
        </w:tabs>
        <w:ind w:left="6480" w:hanging="180"/>
      </w:pPr>
    </w:lvl>
  </w:abstractNum>
  <w:abstractNum w:abstractNumId="37" w15:restartNumberingAfterBreak="0">
    <w:nsid w:val="495A476A"/>
    <w:multiLevelType w:val="hybridMultilevel"/>
    <w:tmpl w:val="E8C2F7B6"/>
    <w:lvl w:ilvl="0" w:tplc="A6A203EC">
      <w:start w:val="1"/>
      <w:numFmt w:val="decimal"/>
      <w:lvlText w:val="%1."/>
      <w:lvlJc w:val="left"/>
      <w:pPr>
        <w:tabs>
          <w:tab w:val="num" w:pos="0"/>
        </w:tabs>
        <w:ind w:left="720" w:hanging="360"/>
      </w:pPr>
    </w:lvl>
    <w:lvl w:ilvl="1" w:tplc="F0D257A6">
      <w:start w:val="1"/>
      <w:numFmt w:val="lowerLetter"/>
      <w:lvlText w:val="%2."/>
      <w:lvlJc w:val="left"/>
      <w:pPr>
        <w:tabs>
          <w:tab w:val="num" w:pos="0"/>
        </w:tabs>
        <w:ind w:left="1440" w:hanging="360"/>
      </w:pPr>
    </w:lvl>
    <w:lvl w:ilvl="2" w:tplc="DB226AA8">
      <w:start w:val="1"/>
      <w:numFmt w:val="lowerRoman"/>
      <w:lvlText w:val="%3."/>
      <w:lvlJc w:val="right"/>
      <w:pPr>
        <w:tabs>
          <w:tab w:val="num" w:pos="0"/>
        </w:tabs>
        <w:ind w:left="2160" w:hanging="180"/>
      </w:pPr>
    </w:lvl>
    <w:lvl w:ilvl="3" w:tplc="502E5FD2">
      <w:start w:val="1"/>
      <w:numFmt w:val="decimal"/>
      <w:lvlText w:val="%4."/>
      <w:lvlJc w:val="left"/>
      <w:pPr>
        <w:tabs>
          <w:tab w:val="num" w:pos="0"/>
        </w:tabs>
        <w:ind w:left="2880" w:hanging="360"/>
      </w:pPr>
    </w:lvl>
    <w:lvl w:ilvl="4" w:tplc="71426DE0">
      <w:start w:val="1"/>
      <w:numFmt w:val="lowerLetter"/>
      <w:lvlText w:val="%5."/>
      <w:lvlJc w:val="left"/>
      <w:pPr>
        <w:tabs>
          <w:tab w:val="num" w:pos="0"/>
        </w:tabs>
        <w:ind w:left="3600" w:hanging="360"/>
      </w:pPr>
    </w:lvl>
    <w:lvl w:ilvl="5" w:tplc="9AAAD844">
      <w:start w:val="1"/>
      <w:numFmt w:val="lowerRoman"/>
      <w:lvlText w:val="%6."/>
      <w:lvlJc w:val="right"/>
      <w:pPr>
        <w:tabs>
          <w:tab w:val="num" w:pos="0"/>
        </w:tabs>
        <w:ind w:left="4320" w:hanging="180"/>
      </w:pPr>
    </w:lvl>
    <w:lvl w:ilvl="6" w:tplc="5F5CD05A">
      <w:start w:val="1"/>
      <w:numFmt w:val="decimal"/>
      <w:lvlText w:val="%7."/>
      <w:lvlJc w:val="left"/>
      <w:pPr>
        <w:tabs>
          <w:tab w:val="num" w:pos="0"/>
        </w:tabs>
        <w:ind w:left="5040" w:hanging="360"/>
      </w:pPr>
    </w:lvl>
    <w:lvl w:ilvl="7" w:tplc="84B83122">
      <w:start w:val="1"/>
      <w:numFmt w:val="lowerLetter"/>
      <w:lvlText w:val="%8."/>
      <w:lvlJc w:val="left"/>
      <w:pPr>
        <w:tabs>
          <w:tab w:val="num" w:pos="0"/>
        </w:tabs>
        <w:ind w:left="5760" w:hanging="360"/>
      </w:pPr>
    </w:lvl>
    <w:lvl w:ilvl="8" w:tplc="3C1C511C">
      <w:start w:val="1"/>
      <w:numFmt w:val="lowerRoman"/>
      <w:lvlText w:val="%9."/>
      <w:lvlJc w:val="right"/>
      <w:pPr>
        <w:tabs>
          <w:tab w:val="num" w:pos="0"/>
        </w:tabs>
        <w:ind w:left="6480" w:hanging="180"/>
      </w:pPr>
    </w:lvl>
  </w:abstractNum>
  <w:abstractNum w:abstractNumId="38" w15:restartNumberingAfterBreak="0">
    <w:nsid w:val="49D00750"/>
    <w:multiLevelType w:val="hybridMultilevel"/>
    <w:tmpl w:val="92D4786E"/>
    <w:lvl w:ilvl="0" w:tplc="AAB217B2">
      <w:start w:val="1"/>
      <w:numFmt w:val="decimal"/>
      <w:pStyle w:val="20"/>
      <w:lvlText w:val="%1."/>
      <w:lvlJc w:val="left"/>
      <w:pPr>
        <w:tabs>
          <w:tab w:val="num" w:pos="643"/>
        </w:tabs>
        <w:ind w:left="643" w:hanging="360"/>
      </w:pPr>
    </w:lvl>
    <w:lvl w:ilvl="1" w:tplc="6936C0D6">
      <w:start w:val="1"/>
      <w:numFmt w:val="bullet"/>
      <w:lvlText w:val="o"/>
      <w:lvlJc w:val="left"/>
      <w:pPr>
        <w:tabs>
          <w:tab w:val="num" w:pos="0"/>
        </w:tabs>
        <w:ind w:left="1440" w:hanging="360"/>
      </w:pPr>
      <w:rPr>
        <w:rFonts w:ascii="Courier New" w:hAnsi="Courier New" w:cs="Courier New" w:hint="default"/>
      </w:rPr>
    </w:lvl>
    <w:lvl w:ilvl="2" w:tplc="8BD6F9F6">
      <w:start w:val="1"/>
      <w:numFmt w:val="bullet"/>
      <w:lvlText w:val="§"/>
      <w:lvlJc w:val="left"/>
      <w:pPr>
        <w:tabs>
          <w:tab w:val="num" w:pos="0"/>
        </w:tabs>
        <w:ind w:left="2160" w:hanging="360"/>
      </w:pPr>
      <w:rPr>
        <w:rFonts w:ascii="Wingdings" w:hAnsi="Wingdings" w:cs="Wingdings" w:hint="default"/>
      </w:rPr>
    </w:lvl>
    <w:lvl w:ilvl="3" w:tplc="06D20920">
      <w:start w:val="1"/>
      <w:numFmt w:val="bullet"/>
      <w:lvlText w:val="·"/>
      <w:lvlJc w:val="left"/>
      <w:pPr>
        <w:tabs>
          <w:tab w:val="num" w:pos="0"/>
        </w:tabs>
        <w:ind w:left="2880" w:hanging="360"/>
      </w:pPr>
      <w:rPr>
        <w:rFonts w:ascii="Symbol" w:hAnsi="Symbol" w:cs="Symbol" w:hint="default"/>
      </w:rPr>
    </w:lvl>
    <w:lvl w:ilvl="4" w:tplc="7D2EC426">
      <w:start w:val="1"/>
      <w:numFmt w:val="bullet"/>
      <w:lvlText w:val="o"/>
      <w:lvlJc w:val="left"/>
      <w:pPr>
        <w:tabs>
          <w:tab w:val="num" w:pos="0"/>
        </w:tabs>
        <w:ind w:left="3600" w:hanging="360"/>
      </w:pPr>
      <w:rPr>
        <w:rFonts w:ascii="Courier New" w:hAnsi="Courier New" w:cs="Courier New" w:hint="default"/>
      </w:rPr>
    </w:lvl>
    <w:lvl w:ilvl="5" w:tplc="7088B1F6">
      <w:start w:val="1"/>
      <w:numFmt w:val="bullet"/>
      <w:lvlText w:val="§"/>
      <w:lvlJc w:val="left"/>
      <w:pPr>
        <w:tabs>
          <w:tab w:val="num" w:pos="0"/>
        </w:tabs>
        <w:ind w:left="4320" w:hanging="360"/>
      </w:pPr>
      <w:rPr>
        <w:rFonts w:ascii="Wingdings" w:hAnsi="Wingdings" w:cs="Wingdings" w:hint="default"/>
      </w:rPr>
    </w:lvl>
    <w:lvl w:ilvl="6" w:tplc="B5C26BEC">
      <w:start w:val="1"/>
      <w:numFmt w:val="bullet"/>
      <w:lvlText w:val="·"/>
      <w:lvlJc w:val="left"/>
      <w:pPr>
        <w:tabs>
          <w:tab w:val="num" w:pos="0"/>
        </w:tabs>
        <w:ind w:left="5040" w:hanging="360"/>
      </w:pPr>
      <w:rPr>
        <w:rFonts w:ascii="Symbol" w:hAnsi="Symbol" w:cs="Symbol" w:hint="default"/>
      </w:rPr>
    </w:lvl>
    <w:lvl w:ilvl="7" w:tplc="D938CDD8">
      <w:start w:val="1"/>
      <w:numFmt w:val="bullet"/>
      <w:lvlText w:val="o"/>
      <w:lvlJc w:val="left"/>
      <w:pPr>
        <w:tabs>
          <w:tab w:val="num" w:pos="0"/>
        </w:tabs>
        <w:ind w:left="5760" w:hanging="360"/>
      </w:pPr>
      <w:rPr>
        <w:rFonts w:ascii="Courier New" w:hAnsi="Courier New" w:cs="Courier New" w:hint="default"/>
      </w:rPr>
    </w:lvl>
    <w:lvl w:ilvl="8" w:tplc="8FA65502">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AA4377C"/>
    <w:multiLevelType w:val="hybridMultilevel"/>
    <w:tmpl w:val="A2AC4CE2"/>
    <w:lvl w:ilvl="0" w:tplc="D1740918">
      <w:start w:val="1"/>
      <w:numFmt w:val="bullet"/>
      <w:lvlText w:val=""/>
      <w:lvlJc w:val="left"/>
      <w:pPr>
        <w:tabs>
          <w:tab w:val="num" w:pos="0"/>
        </w:tabs>
        <w:ind w:left="720" w:hanging="360"/>
      </w:pPr>
      <w:rPr>
        <w:rFonts w:ascii="Symbol" w:hAnsi="Symbol" w:cs="Symbol" w:hint="default"/>
      </w:rPr>
    </w:lvl>
    <w:lvl w:ilvl="1" w:tplc="5202AA1A">
      <w:start w:val="1"/>
      <w:numFmt w:val="bullet"/>
      <w:lvlText w:val="o"/>
      <w:lvlJc w:val="left"/>
      <w:pPr>
        <w:tabs>
          <w:tab w:val="num" w:pos="0"/>
        </w:tabs>
        <w:ind w:left="1440" w:hanging="360"/>
      </w:pPr>
      <w:rPr>
        <w:rFonts w:ascii="Courier New" w:hAnsi="Courier New" w:cs="Courier New" w:hint="default"/>
      </w:rPr>
    </w:lvl>
    <w:lvl w:ilvl="2" w:tplc="447CCCF0">
      <w:start w:val="1"/>
      <w:numFmt w:val="bullet"/>
      <w:lvlText w:val=""/>
      <w:lvlJc w:val="left"/>
      <w:pPr>
        <w:tabs>
          <w:tab w:val="num" w:pos="0"/>
        </w:tabs>
        <w:ind w:left="2160" w:hanging="360"/>
      </w:pPr>
      <w:rPr>
        <w:rFonts w:ascii="Wingdings" w:hAnsi="Wingdings" w:cs="Wingdings" w:hint="default"/>
      </w:rPr>
    </w:lvl>
    <w:lvl w:ilvl="3" w:tplc="C7C2EC5E">
      <w:start w:val="1"/>
      <w:numFmt w:val="bullet"/>
      <w:lvlText w:val=""/>
      <w:lvlJc w:val="left"/>
      <w:pPr>
        <w:tabs>
          <w:tab w:val="num" w:pos="0"/>
        </w:tabs>
        <w:ind w:left="2880" w:hanging="360"/>
      </w:pPr>
      <w:rPr>
        <w:rFonts w:ascii="Symbol" w:hAnsi="Symbol" w:cs="Symbol" w:hint="default"/>
      </w:rPr>
    </w:lvl>
    <w:lvl w:ilvl="4" w:tplc="77BCED6A">
      <w:start w:val="1"/>
      <w:numFmt w:val="bullet"/>
      <w:lvlText w:val="o"/>
      <w:lvlJc w:val="left"/>
      <w:pPr>
        <w:tabs>
          <w:tab w:val="num" w:pos="0"/>
        </w:tabs>
        <w:ind w:left="3600" w:hanging="360"/>
      </w:pPr>
      <w:rPr>
        <w:rFonts w:ascii="Courier New" w:hAnsi="Courier New" w:cs="Courier New" w:hint="default"/>
      </w:rPr>
    </w:lvl>
    <w:lvl w:ilvl="5" w:tplc="C04A6D94">
      <w:start w:val="1"/>
      <w:numFmt w:val="bullet"/>
      <w:lvlText w:val=""/>
      <w:lvlJc w:val="left"/>
      <w:pPr>
        <w:tabs>
          <w:tab w:val="num" w:pos="0"/>
        </w:tabs>
        <w:ind w:left="4320" w:hanging="360"/>
      </w:pPr>
      <w:rPr>
        <w:rFonts w:ascii="Wingdings" w:hAnsi="Wingdings" w:cs="Wingdings" w:hint="default"/>
      </w:rPr>
    </w:lvl>
    <w:lvl w:ilvl="6" w:tplc="3390ABA6">
      <w:start w:val="1"/>
      <w:numFmt w:val="bullet"/>
      <w:lvlText w:val=""/>
      <w:lvlJc w:val="left"/>
      <w:pPr>
        <w:tabs>
          <w:tab w:val="num" w:pos="0"/>
        </w:tabs>
        <w:ind w:left="5040" w:hanging="360"/>
      </w:pPr>
      <w:rPr>
        <w:rFonts w:ascii="Symbol" w:hAnsi="Symbol" w:cs="Symbol" w:hint="default"/>
      </w:rPr>
    </w:lvl>
    <w:lvl w:ilvl="7" w:tplc="A99A225A">
      <w:start w:val="1"/>
      <w:numFmt w:val="bullet"/>
      <w:lvlText w:val="o"/>
      <w:lvlJc w:val="left"/>
      <w:pPr>
        <w:tabs>
          <w:tab w:val="num" w:pos="0"/>
        </w:tabs>
        <w:ind w:left="5760" w:hanging="360"/>
      </w:pPr>
      <w:rPr>
        <w:rFonts w:ascii="Courier New" w:hAnsi="Courier New" w:cs="Courier New" w:hint="default"/>
      </w:rPr>
    </w:lvl>
    <w:lvl w:ilvl="8" w:tplc="3FDC5DAE">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B873DFC"/>
    <w:multiLevelType w:val="hybridMultilevel"/>
    <w:tmpl w:val="6442CC74"/>
    <w:lvl w:ilvl="0" w:tplc="38CA021A">
      <w:start w:val="1"/>
      <w:numFmt w:val="decimal"/>
      <w:lvlText w:val="%1."/>
      <w:lvlJc w:val="left"/>
      <w:pPr>
        <w:tabs>
          <w:tab w:val="num" w:pos="0"/>
        </w:tabs>
        <w:ind w:left="720" w:hanging="360"/>
      </w:pPr>
    </w:lvl>
    <w:lvl w:ilvl="1" w:tplc="1EA04C4C">
      <w:start w:val="1"/>
      <w:numFmt w:val="lowerLetter"/>
      <w:lvlText w:val="%2."/>
      <w:lvlJc w:val="left"/>
      <w:pPr>
        <w:tabs>
          <w:tab w:val="num" w:pos="0"/>
        </w:tabs>
        <w:ind w:left="1440" w:hanging="360"/>
      </w:pPr>
    </w:lvl>
    <w:lvl w:ilvl="2" w:tplc="73F298CA">
      <w:start w:val="1"/>
      <w:numFmt w:val="lowerRoman"/>
      <w:lvlText w:val="%3."/>
      <w:lvlJc w:val="right"/>
      <w:pPr>
        <w:tabs>
          <w:tab w:val="num" w:pos="0"/>
        </w:tabs>
        <w:ind w:left="2160" w:hanging="180"/>
      </w:pPr>
    </w:lvl>
    <w:lvl w:ilvl="3" w:tplc="F0A2F916">
      <w:start w:val="1"/>
      <w:numFmt w:val="decimal"/>
      <w:lvlText w:val="%4."/>
      <w:lvlJc w:val="left"/>
      <w:pPr>
        <w:tabs>
          <w:tab w:val="num" w:pos="0"/>
        </w:tabs>
        <w:ind w:left="2880" w:hanging="360"/>
      </w:pPr>
    </w:lvl>
    <w:lvl w:ilvl="4" w:tplc="766C9D6E">
      <w:start w:val="1"/>
      <w:numFmt w:val="lowerLetter"/>
      <w:lvlText w:val="%5."/>
      <w:lvlJc w:val="left"/>
      <w:pPr>
        <w:tabs>
          <w:tab w:val="num" w:pos="0"/>
        </w:tabs>
        <w:ind w:left="3600" w:hanging="360"/>
      </w:pPr>
    </w:lvl>
    <w:lvl w:ilvl="5" w:tplc="0CBE4C22">
      <w:start w:val="1"/>
      <w:numFmt w:val="lowerRoman"/>
      <w:lvlText w:val="%6."/>
      <w:lvlJc w:val="right"/>
      <w:pPr>
        <w:tabs>
          <w:tab w:val="num" w:pos="0"/>
        </w:tabs>
        <w:ind w:left="4320" w:hanging="180"/>
      </w:pPr>
    </w:lvl>
    <w:lvl w:ilvl="6" w:tplc="23909A0C">
      <w:start w:val="1"/>
      <w:numFmt w:val="decimal"/>
      <w:lvlText w:val="%7."/>
      <w:lvlJc w:val="left"/>
      <w:pPr>
        <w:tabs>
          <w:tab w:val="num" w:pos="0"/>
        </w:tabs>
        <w:ind w:left="5040" w:hanging="360"/>
      </w:pPr>
    </w:lvl>
    <w:lvl w:ilvl="7" w:tplc="26F007E2">
      <w:start w:val="1"/>
      <w:numFmt w:val="lowerLetter"/>
      <w:lvlText w:val="%8."/>
      <w:lvlJc w:val="left"/>
      <w:pPr>
        <w:tabs>
          <w:tab w:val="num" w:pos="0"/>
        </w:tabs>
        <w:ind w:left="5760" w:hanging="360"/>
      </w:pPr>
    </w:lvl>
    <w:lvl w:ilvl="8" w:tplc="A2F28B92">
      <w:start w:val="1"/>
      <w:numFmt w:val="lowerRoman"/>
      <w:lvlText w:val="%9."/>
      <w:lvlJc w:val="right"/>
      <w:pPr>
        <w:tabs>
          <w:tab w:val="num" w:pos="0"/>
        </w:tabs>
        <w:ind w:left="6480" w:hanging="180"/>
      </w:pPr>
    </w:lvl>
  </w:abstractNum>
  <w:abstractNum w:abstractNumId="41" w15:restartNumberingAfterBreak="0">
    <w:nsid w:val="4B9D0AD5"/>
    <w:multiLevelType w:val="hybridMultilevel"/>
    <w:tmpl w:val="675A45AE"/>
    <w:lvl w:ilvl="0" w:tplc="999C6D94">
      <w:start w:val="1"/>
      <w:numFmt w:val="decimal"/>
      <w:lvlText w:val="%1."/>
      <w:lvlJc w:val="left"/>
      <w:pPr>
        <w:tabs>
          <w:tab w:val="num" w:pos="0"/>
        </w:tabs>
        <w:ind w:left="720" w:hanging="360"/>
      </w:pPr>
    </w:lvl>
    <w:lvl w:ilvl="1" w:tplc="52AAD9B0">
      <w:start w:val="1"/>
      <w:numFmt w:val="lowerLetter"/>
      <w:lvlText w:val="%2."/>
      <w:lvlJc w:val="left"/>
      <w:pPr>
        <w:tabs>
          <w:tab w:val="num" w:pos="0"/>
        </w:tabs>
        <w:ind w:left="1440" w:hanging="360"/>
      </w:pPr>
    </w:lvl>
    <w:lvl w:ilvl="2" w:tplc="D0CCD608">
      <w:start w:val="1"/>
      <w:numFmt w:val="lowerRoman"/>
      <w:lvlText w:val="%3."/>
      <w:lvlJc w:val="right"/>
      <w:pPr>
        <w:tabs>
          <w:tab w:val="num" w:pos="0"/>
        </w:tabs>
        <w:ind w:left="2160" w:hanging="180"/>
      </w:pPr>
    </w:lvl>
    <w:lvl w:ilvl="3" w:tplc="82940924">
      <w:start w:val="1"/>
      <w:numFmt w:val="decimal"/>
      <w:lvlText w:val="%4."/>
      <w:lvlJc w:val="left"/>
      <w:pPr>
        <w:tabs>
          <w:tab w:val="num" w:pos="0"/>
        </w:tabs>
        <w:ind w:left="2880" w:hanging="360"/>
      </w:pPr>
    </w:lvl>
    <w:lvl w:ilvl="4" w:tplc="017C5F88">
      <w:start w:val="1"/>
      <w:numFmt w:val="lowerLetter"/>
      <w:lvlText w:val="%5."/>
      <w:lvlJc w:val="left"/>
      <w:pPr>
        <w:tabs>
          <w:tab w:val="num" w:pos="0"/>
        </w:tabs>
        <w:ind w:left="3600" w:hanging="360"/>
      </w:pPr>
    </w:lvl>
    <w:lvl w:ilvl="5" w:tplc="468A6898">
      <w:start w:val="1"/>
      <w:numFmt w:val="lowerRoman"/>
      <w:lvlText w:val="%6."/>
      <w:lvlJc w:val="right"/>
      <w:pPr>
        <w:tabs>
          <w:tab w:val="num" w:pos="0"/>
        </w:tabs>
        <w:ind w:left="4320" w:hanging="180"/>
      </w:pPr>
    </w:lvl>
    <w:lvl w:ilvl="6" w:tplc="2A98806A">
      <w:start w:val="1"/>
      <w:numFmt w:val="decimal"/>
      <w:lvlText w:val="%7."/>
      <w:lvlJc w:val="left"/>
      <w:pPr>
        <w:tabs>
          <w:tab w:val="num" w:pos="0"/>
        </w:tabs>
        <w:ind w:left="5040" w:hanging="360"/>
      </w:pPr>
    </w:lvl>
    <w:lvl w:ilvl="7" w:tplc="D2D0EEA2">
      <w:start w:val="1"/>
      <w:numFmt w:val="lowerLetter"/>
      <w:lvlText w:val="%8."/>
      <w:lvlJc w:val="left"/>
      <w:pPr>
        <w:tabs>
          <w:tab w:val="num" w:pos="0"/>
        </w:tabs>
        <w:ind w:left="5760" w:hanging="360"/>
      </w:pPr>
    </w:lvl>
    <w:lvl w:ilvl="8" w:tplc="5CB60522">
      <w:start w:val="1"/>
      <w:numFmt w:val="lowerRoman"/>
      <w:lvlText w:val="%9."/>
      <w:lvlJc w:val="right"/>
      <w:pPr>
        <w:tabs>
          <w:tab w:val="num" w:pos="0"/>
        </w:tabs>
        <w:ind w:left="6480" w:hanging="180"/>
      </w:pPr>
    </w:lvl>
  </w:abstractNum>
  <w:abstractNum w:abstractNumId="42" w15:restartNumberingAfterBreak="0">
    <w:nsid w:val="4C052E31"/>
    <w:multiLevelType w:val="hybridMultilevel"/>
    <w:tmpl w:val="A2CE634A"/>
    <w:lvl w:ilvl="0" w:tplc="95881AB6">
      <w:start w:val="1"/>
      <w:numFmt w:val="decimal"/>
      <w:lvlText w:val="%1."/>
      <w:lvlJc w:val="left"/>
      <w:pPr>
        <w:tabs>
          <w:tab w:val="num" w:pos="0"/>
        </w:tabs>
        <w:ind w:left="720" w:hanging="360"/>
      </w:pPr>
    </w:lvl>
    <w:lvl w:ilvl="1" w:tplc="2EA02B7C">
      <w:start w:val="1"/>
      <w:numFmt w:val="lowerLetter"/>
      <w:lvlText w:val="%2."/>
      <w:lvlJc w:val="left"/>
      <w:pPr>
        <w:tabs>
          <w:tab w:val="num" w:pos="0"/>
        </w:tabs>
        <w:ind w:left="1440" w:hanging="360"/>
      </w:pPr>
    </w:lvl>
    <w:lvl w:ilvl="2" w:tplc="BC92B478">
      <w:start w:val="1"/>
      <w:numFmt w:val="lowerRoman"/>
      <w:lvlText w:val="%3."/>
      <w:lvlJc w:val="right"/>
      <w:pPr>
        <w:tabs>
          <w:tab w:val="num" w:pos="0"/>
        </w:tabs>
        <w:ind w:left="2160" w:hanging="180"/>
      </w:pPr>
    </w:lvl>
    <w:lvl w:ilvl="3" w:tplc="01B01EF0">
      <w:start w:val="1"/>
      <w:numFmt w:val="decimal"/>
      <w:lvlText w:val="%4."/>
      <w:lvlJc w:val="left"/>
      <w:pPr>
        <w:tabs>
          <w:tab w:val="num" w:pos="0"/>
        </w:tabs>
        <w:ind w:left="2880" w:hanging="360"/>
      </w:pPr>
    </w:lvl>
    <w:lvl w:ilvl="4" w:tplc="51F8FA14">
      <w:start w:val="1"/>
      <w:numFmt w:val="lowerLetter"/>
      <w:lvlText w:val="%5."/>
      <w:lvlJc w:val="left"/>
      <w:pPr>
        <w:tabs>
          <w:tab w:val="num" w:pos="0"/>
        </w:tabs>
        <w:ind w:left="3600" w:hanging="360"/>
      </w:pPr>
    </w:lvl>
    <w:lvl w:ilvl="5" w:tplc="6FE65F12">
      <w:start w:val="1"/>
      <w:numFmt w:val="lowerRoman"/>
      <w:lvlText w:val="%6."/>
      <w:lvlJc w:val="right"/>
      <w:pPr>
        <w:tabs>
          <w:tab w:val="num" w:pos="0"/>
        </w:tabs>
        <w:ind w:left="4320" w:hanging="180"/>
      </w:pPr>
    </w:lvl>
    <w:lvl w:ilvl="6" w:tplc="AD8EA19C">
      <w:start w:val="1"/>
      <w:numFmt w:val="decimal"/>
      <w:lvlText w:val="%7."/>
      <w:lvlJc w:val="left"/>
      <w:pPr>
        <w:tabs>
          <w:tab w:val="num" w:pos="0"/>
        </w:tabs>
        <w:ind w:left="5040" w:hanging="360"/>
      </w:pPr>
    </w:lvl>
    <w:lvl w:ilvl="7" w:tplc="53707CE6">
      <w:start w:val="1"/>
      <w:numFmt w:val="lowerLetter"/>
      <w:lvlText w:val="%8."/>
      <w:lvlJc w:val="left"/>
      <w:pPr>
        <w:tabs>
          <w:tab w:val="num" w:pos="0"/>
        </w:tabs>
        <w:ind w:left="5760" w:hanging="360"/>
      </w:pPr>
    </w:lvl>
    <w:lvl w:ilvl="8" w:tplc="247AAE32">
      <w:start w:val="1"/>
      <w:numFmt w:val="lowerRoman"/>
      <w:lvlText w:val="%9."/>
      <w:lvlJc w:val="right"/>
      <w:pPr>
        <w:tabs>
          <w:tab w:val="num" w:pos="0"/>
        </w:tabs>
        <w:ind w:left="6480" w:hanging="180"/>
      </w:pPr>
    </w:lvl>
  </w:abstractNum>
  <w:abstractNum w:abstractNumId="43" w15:restartNumberingAfterBreak="0">
    <w:nsid w:val="4DB67845"/>
    <w:multiLevelType w:val="hybridMultilevel"/>
    <w:tmpl w:val="68A64396"/>
    <w:lvl w:ilvl="0" w:tplc="643CCDF8">
      <w:start w:val="1"/>
      <w:numFmt w:val="decimal"/>
      <w:lvlText w:val="%1."/>
      <w:lvlJc w:val="left"/>
      <w:pPr>
        <w:tabs>
          <w:tab w:val="num" w:pos="0"/>
        </w:tabs>
        <w:ind w:left="720" w:hanging="360"/>
      </w:pPr>
    </w:lvl>
    <w:lvl w:ilvl="1" w:tplc="50CC22A6">
      <w:start w:val="1"/>
      <w:numFmt w:val="lowerLetter"/>
      <w:lvlText w:val="%2."/>
      <w:lvlJc w:val="left"/>
      <w:pPr>
        <w:tabs>
          <w:tab w:val="num" w:pos="0"/>
        </w:tabs>
        <w:ind w:left="1440" w:hanging="360"/>
      </w:pPr>
    </w:lvl>
    <w:lvl w:ilvl="2" w:tplc="ADDA1624">
      <w:start w:val="1"/>
      <w:numFmt w:val="lowerRoman"/>
      <w:lvlText w:val="%3."/>
      <w:lvlJc w:val="right"/>
      <w:pPr>
        <w:tabs>
          <w:tab w:val="num" w:pos="0"/>
        </w:tabs>
        <w:ind w:left="2160" w:hanging="180"/>
      </w:pPr>
    </w:lvl>
    <w:lvl w:ilvl="3" w:tplc="BD20F7B0">
      <w:start w:val="1"/>
      <w:numFmt w:val="decimal"/>
      <w:lvlText w:val="%4."/>
      <w:lvlJc w:val="left"/>
      <w:pPr>
        <w:tabs>
          <w:tab w:val="num" w:pos="0"/>
        </w:tabs>
        <w:ind w:left="2880" w:hanging="360"/>
      </w:pPr>
    </w:lvl>
    <w:lvl w:ilvl="4" w:tplc="AD401A16">
      <w:start w:val="1"/>
      <w:numFmt w:val="lowerLetter"/>
      <w:lvlText w:val="%5."/>
      <w:lvlJc w:val="left"/>
      <w:pPr>
        <w:tabs>
          <w:tab w:val="num" w:pos="0"/>
        </w:tabs>
        <w:ind w:left="3600" w:hanging="360"/>
      </w:pPr>
    </w:lvl>
    <w:lvl w:ilvl="5" w:tplc="17822CAA">
      <w:start w:val="1"/>
      <w:numFmt w:val="lowerRoman"/>
      <w:lvlText w:val="%6."/>
      <w:lvlJc w:val="right"/>
      <w:pPr>
        <w:tabs>
          <w:tab w:val="num" w:pos="0"/>
        </w:tabs>
        <w:ind w:left="4320" w:hanging="180"/>
      </w:pPr>
    </w:lvl>
    <w:lvl w:ilvl="6" w:tplc="FE383604">
      <w:start w:val="1"/>
      <w:numFmt w:val="decimal"/>
      <w:lvlText w:val="%7."/>
      <w:lvlJc w:val="left"/>
      <w:pPr>
        <w:tabs>
          <w:tab w:val="num" w:pos="0"/>
        </w:tabs>
        <w:ind w:left="5040" w:hanging="360"/>
      </w:pPr>
    </w:lvl>
    <w:lvl w:ilvl="7" w:tplc="C37E3054">
      <w:start w:val="1"/>
      <w:numFmt w:val="lowerLetter"/>
      <w:lvlText w:val="%8."/>
      <w:lvlJc w:val="left"/>
      <w:pPr>
        <w:tabs>
          <w:tab w:val="num" w:pos="0"/>
        </w:tabs>
        <w:ind w:left="5760" w:hanging="360"/>
      </w:pPr>
    </w:lvl>
    <w:lvl w:ilvl="8" w:tplc="71B24860">
      <w:start w:val="1"/>
      <w:numFmt w:val="lowerRoman"/>
      <w:lvlText w:val="%9."/>
      <w:lvlJc w:val="right"/>
      <w:pPr>
        <w:tabs>
          <w:tab w:val="num" w:pos="0"/>
        </w:tabs>
        <w:ind w:left="6480" w:hanging="180"/>
      </w:pPr>
    </w:lvl>
  </w:abstractNum>
  <w:abstractNum w:abstractNumId="44" w15:restartNumberingAfterBreak="0">
    <w:nsid w:val="4F890B94"/>
    <w:multiLevelType w:val="hybridMultilevel"/>
    <w:tmpl w:val="CFA45E84"/>
    <w:lvl w:ilvl="0" w:tplc="80ACC0DC">
      <w:start w:val="1"/>
      <w:numFmt w:val="decimal"/>
      <w:lvlText w:val="%1."/>
      <w:lvlJc w:val="left"/>
      <w:pPr>
        <w:tabs>
          <w:tab w:val="num" w:pos="0"/>
        </w:tabs>
        <w:ind w:left="720" w:hanging="360"/>
      </w:pPr>
    </w:lvl>
    <w:lvl w:ilvl="1" w:tplc="3CD8B63A">
      <w:start w:val="1"/>
      <w:numFmt w:val="lowerLetter"/>
      <w:lvlText w:val="%2."/>
      <w:lvlJc w:val="left"/>
      <w:pPr>
        <w:tabs>
          <w:tab w:val="num" w:pos="0"/>
        </w:tabs>
        <w:ind w:left="1440" w:hanging="360"/>
      </w:pPr>
    </w:lvl>
    <w:lvl w:ilvl="2" w:tplc="77CC3A92">
      <w:start w:val="1"/>
      <w:numFmt w:val="lowerRoman"/>
      <w:lvlText w:val="%3."/>
      <w:lvlJc w:val="right"/>
      <w:pPr>
        <w:tabs>
          <w:tab w:val="num" w:pos="0"/>
        </w:tabs>
        <w:ind w:left="2160" w:hanging="180"/>
      </w:pPr>
    </w:lvl>
    <w:lvl w:ilvl="3" w:tplc="5E020A50">
      <w:start w:val="1"/>
      <w:numFmt w:val="decimal"/>
      <w:lvlText w:val="%4."/>
      <w:lvlJc w:val="left"/>
      <w:pPr>
        <w:tabs>
          <w:tab w:val="num" w:pos="0"/>
        </w:tabs>
        <w:ind w:left="2880" w:hanging="360"/>
      </w:pPr>
    </w:lvl>
    <w:lvl w:ilvl="4" w:tplc="FA542942">
      <w:start w:val="1"/>
      <w:numFmt w:val="lowerLetter"/>
      <w:lvlText w:val="%5."/>
      <w:lvlJc w:val="left"/>
      <w:pPr>
        <w:tabs>
          <w:tab w:val="num" w:pos="0"/>
        </w:tabs>
        <w:ind w:left="3600" w:hanging="360"/>
      </w:pPr>
    </w:lvl>
    <w:lvl w:ilvl="5" w:tplc="29FC228C">
      <w:start w:val="1"/>
      <w:numFmt w:val="lowerRoman"/>
      <w:lvlText w:val="%6."/>
      <w:lvlJc w:val="right"/>
      <w:pPr>
        <w:tabs>
          <w:tab w:val="num" w:pos="0"/>
        </w:tabs>
        <w:ind w:left="4320" w:hanging="180"/>
      </w:pPr>
    </w:lvl>
    <w:lvl w:ilvl="6" w:tplc="97EE3410">
      <w:start w:val="1"/>
      <w:numFmt w:val="decimal"/>
      <w:lvlText w:val="%7."/>
      <w:lvlJc w:val="left"/>
      <w:pPr>
        <w:tabs>
          <w:tab w:val="num" w:pos="0"/>
        </w:tabs>
        <w:ind w:left="5040" w:hanging="360"/>
      </w:pPr>
    </w:lvl>
    <w:lvl w:ilvl="7" w:tplc="B9708F3C">
      <w:start w:val="1"/>
      <w:numFmt w:val="lowerLetter"/>
      <w:lvlText w:val="%8."/>
      <w:lvlJc w:val="left"/>
      <w:pPr>
        <w:tabs>
          <w:tab w:val="num" w:pos="0"/>
        </w:tabs>
        <w:ind w:left="5760" w:hanging="360"/>
      </w:pPr>
    </w:lvl>
    <w:lvl w:ilvl="8" w:tplc="64709254">
      <w:start w:val="1"/>
      <w:numFmt w:val="lowerRoman"/>
      <w:lvlText w:val="%9."/>
      <w:lvlJc w:val="right"/>
      <w:pPr>
        <w:tabs>
          <w:tab w:val="num" w:pos="0"/>
        </w:tabs>
        <w:ind w:left="6480" w:hanging="180"/>
      </w:pPr>
    </w:lvl>
  </w:abstractNum>
  <w:abstractNum w:abstractNumId="45" w15:restartNumberingAfterBreak="0">
    <w:nsid w:val="4F9F4AEC"/>
    <w:multiLevelType w:val="hybridMultilevel"/>
    <w:tmpl w:val="EC52C2A2"/>
    <w:lvl w:ilvl="0" w:tplc="5198AA36">
      <w:start w:val="1"/>
      <w:numFmt w:val="decimal"/>
      <w:lvlText w:val="%1."/>
      <w:lvlJc w:val="left"/>
      <w:pPr>
        <w:tabs>
          <w:tab w:val="num" w:pos="0"/>
        </w:tabs>
        <w:ind w:left="720" w:hanging="360"/>
      </w:pPr>
    </w:lvl>
    <w:lvl w:ilvl="1" w:tplc="6A140544">
      <w:start w:val="1"/>
      <w:numFmt w:val="lowerLetter"/>
      <w:lvlText w:val="%2."/>
      <w:lvlJc w:val="left"/>
      <w:pPr>
        <w:tabs>
          <w:tab w:val="num" w:pos="0"/>
        </w:tabs>
        <w:ind w:left="1440" w:hanging="360"/>
      </w:pPr>
    </w:lvl>
    <w:lvl w:ilvl="2" w:tplc="713C7E02">
      <w:start w:val="1"/>
      <w:numFmt w:val="lowerRoman"/>
      <w:lvlText w:val="%3."/>
      <w:lvlJc w:val="right"/>
      <w:pPr>
        <w:tabs>
          <w:tab w:val="num" w:pos="0"/>
        </w:tabs>
        <w:ind w:left="2160" w:hanging="180"/>
      </w:pPr>
    </w:lvl>
    <w:lvl w:ilvl="3" w:tplc="91701BB6">
      <w:start w:val="1"/>
      <w:numFmt w:val="decimal"/>
      <w:lvlText w:val="%4."/>
      <w:lvlJc w:val="left"/>
      <w:pPr>
        <w:tabs>
          <w:tab w:val="num" w:pos="0"/>
        </w:tabs>
        <w:ind w:left="2880" w:hanging="360"/>
      </w:pPr>
    </w:lvl>
    <w:lvl w:ilvl="4" w:tplc="76EA736E">
      <w:start w:val="1"/>
      <w:numFmt w:val="lowerLetter"/>
      <w:lvlText w:val="%5."/>
      <w:lvlJc w:val="left"/>
      <w:pPr>
        <w:tabs>
          <w:tab w:val="num" w:pos="0"/>
        </w:tabs>
        <w:ind w:left="3600" w:hanging="360"/>
      </w:pPr>
    </w:lvl>
    <w:lvl w:ilvl="5" w:tplc="C48E297A">
      <w:start w:val="1"/>
      <w:numFmt w:val="lowerRoman"/>
      <w:lvlText w:val="%6."/>
      <w:lvlJc w:val="right"/>
      <w:pPr>
        <w:tabs>
          <w:tab w:val="num" w:pos="0"/>
        </w:tabs>
        <w:ind w:left="4320" w:hanging="180"/>
      </w:pPr>
    </w:lvl>
    <w:lvl w:ilvl="6" w:tplc="B02AA714">
      <w:start w:val="1"/>
      <w:numFmt w:val="decimal"/>
      <w:lvlText w:val="%7."/>
      <w:lvlJc w:val="left"/>
      <w:pPr>
        <w:tabs>
          <w:tab w:val="num" w:pos="0"/>
        </w:tabs>
        <w:ind w:left="5040" w:hanging="360"/>
      </w:pPr>
    </w:lvl>
    <w:lvl w:ilvl="7" w:tplc="3304A7DA">
      <w:start w:val="1"/>
      <w:numFmt w:val="lowerLetter"/>
      <w:lvlText w:val="%8."/>
      <w:lvlJc w:val="left"/>
      <w:pPr>
        <w:tabs>
          <w:tab w:val="num" w:pos="0"/>
        </w:tabs>
        <w:ind w:left="5760" w:hanging="360"/>
      </w:pPr>
    </w:lvl>
    <w:lvl w:ilvl="8" w:tplc="F4341D4A">
      <w:start w:val="1"/>
      <w:numFmt w:val="lowerRoman"/>
      <w:lvlText w:val="%9."/>
      <w:lvlJc w:val="right"/>
      <w:pPr>
        <w:tabs>
          <w:tab w:val="num" w:pos="0"/>
        </w:tabs>
        <w:ind w:left="6480" w:hanging="180"/>
      </w:pPr>
    </w:lvl>
  </w:abstractNum>
  <w:abstractNum w:abstractNumId="46" w15:restartNumberingAfterBreak="0">
    <w:nsid w:val="4FBA4EF9"/>
    <w:multiLevelType w:val="hybridMultilevel"/>
    <w:tmpl w:val="CF1C0312"/>
    <w:lvl w:ilvl="0" w:tplc="35FEB2D2">
      <w:start w:val="1"/>
      <w:numFmt w:val="decimal"/>
      <w:lvlText w:val="%1."/>
      <w:lvlJc w:val="left"/>
      <w:pPr>
        <w:tabs>
          <w:tab w:val="num" w:pos="0"/>
        </w:tabs>
        <w:ind w:left="720" w:hanging="360"/>
      </w:pPr>
    </w:lvl>
    <w:lvl w:ilvl="1" w:tplc="B920BACE">
      <w:start w:val="1"/>
      <w:numFmt w:val="lowerLetter"/>
      <w:lvlText w:val="%2."/>
      <w:lvlJc w:val="left"/>
      <w:pPr>
        <w:tabs>
          <w:tab w:val="num" w:pos="0"/>
        </w:tabs>
        <w:ind w:left="1440" w:hanging="360"/>
      </w:pPr>
    </w:lvl>
    <w:lvl w:ilvl="2" w:tplc="E4B0D71E">
      <w:start w:val="1"/>
      <w:numFmt w:val="lowerRoman"/>
      <w:lvlText w:val="%3."/>
      <w:lvlJc w:val="right"/>
      <w:pPr>
        <w:tabs>
          <w:tab w:val="num" w:pos="0"/>
        </w:tabs>
        <w:ind w:left="2160" w:hanging="180"/>
      </w:pPr>
    </w:lvl>
    <w:lvl w:ilvl="3" w:tplc="14705DD0">
      <w:start w:val="1"/>
      <w:numFmt w:val="decimal"/>
      <w:lvlText w:val="%4."/>
      <w:lvlJc w:val="left"/>
      <w:pPr>
        <w:tabs>
          <w:tab w:val="num" w:pos="0"/>
        </w:tabs>
        <w:ind w:left="2880" w:hanging="360"/>
      </w:pPr>
    </w:lvl>
    <w:lvl w:ilvl="4" w:tplc="66FA0A92">
      <w:start w:val="1"/>
      <w:numFmt w:val="lowerLetter"/>
      <w:lvlText w:val="%5."/>
      <w:lvlJc w:val="left"/>
      <w:pPr>
        <w:tabs>
          <w:tab w:val="num" w:pos="0"/>
        </w:tabs>
        <w:ind w:left="3600" w:hanging="360"/>
      </w:pPr>
    </w:lvl>
    <w:lvl w:ilvl="5" w:tplc="F39C52C8">
      <w:start w:val="1"/>
      <w:numFmt w:val="lowerRoman"/>
      <w:lvlText w:val="%6."/>
      <w:lvlJc w:val="right"/>
      <w:pPr>
        <w:tabs>
          <w:tab w:val="num" w:pos="0"/>
        </w:tabs>
        <w:ind w:left="4320" w:hanging="180"/>
      </w:pPr>
    </w:lvl>
    <w:lvl w:ilvl="6" w:tplc="45FC6268">
      <w:start w:val="1"/>
      <w:numFmt w:val="decimal"/>
      <w:lvlText w:val="%7."/>
      <w:lvlJc w:val="left"/>
      <w:pPr>
        <w:tabs>
          <w:tab w:val="num" w:pos="0"/>
        </w:tabs>
        <w:ind w:left="5040" w:hanging="360"/>
      </w:pPr>
    </w:lvl>
    <w:lvl w:ilvl="7" w:tplc="C004E44E">
      <w:start w:val="1"/>
      <w:numFmt w:val="lowerLetter"/>
      <w:lvlText w:val="%8."/>
      <w:lvlJc w:val="left"/>
      <w:pPr>
        <w:tabs>
          <w:tab w:val="num" w:pos="0"/>
        </w:tabs>
        <w:ind w:left="5760" w:hanging="360"/>
      </w:pPr>
    </w:lvl>
    <w:lvl w:ilvl="8" w:tplc="38E4E2D0">
      <w:start w:val="1"/>
      <w:numFmt w:val="lowerRoman"/>
      <w:lvlText w:val="%9."/>
      <w:lvlJc w:val="right"/>
      <w:pPr>
        <w:tabs>
          <w:tab w:val="num" w:pos="0"/>
        </w:tabs>
        <w:ind w:left="6480" w:hanging="180"/>
      </w:pPr>
    </w:lvl>
  </w:abstractNum>
  <w:abstractNum w:abstractNumId="47" w15:restartNumberingAfterBreak="0">
    <w:nsid w:val="505F0535"/>
    <w:multiLevelType w:val="hybridMultilevel"/>
    <w:tmpl w:val="BFB64288"/>
    <w:lvl w:ilvl="0" w:tplc="CF2A274E">
      <w:start w:val="1"/>
      <w:numFmt w:val="bullet"/>
      <w:lvlText w:val=""/>
      <w:lvlJc w:val="left"/>
      <w:pPr>
        <w:tabs>
          <w:tab w:val="num" w:pos="0"/>
        </w:tabs>
        <w:ind w:left="720" w:hanging="360"/>
      </w:pPr>
      <w:rPr>
        <w:rFonts w:ascii="Symbol" w:hAnsi="Symbol" w:cs="Symbol" w:hint="default"/>
      </w:rPr>
    </w:lvl>
    <w:lvl w:ilvl="1" w:tplc="48D456B8">
      <w:start w:val="1"/>
      <w:numFmt w:val="bullet"/>
      <w:lvlText w:val="o"/>
      <w:lvlJc w:val="left"/>
      <w:pPr>
        <w:tabs>
          <w:tab w:val="num" w:pos="0"/>
        </w:tabs>
        <w:ind w:left="1440" w:hanging="360"/>
      </w:pPr>
      <w:rPr>
        <w:rFonts w:ascii="Courier New" w:hAnsi="Courier New" w:cs="Courier New" w:hint="default"/>
      </w:rPr>
    </w:lvl>
    <w:lvl w:ilvl="2" w:tplc="5ECC3FB8">
      <w:start w:val="1"/>
      <w:numFmt w:val="bullet"/>
      <w:lvlText w:val=""/>
      <w:lvlJc w:val="left"/>
      <w:pPr>
        <w:tabs>
          <w:tab w:val="num" w:pos="0"/>
        </w:tabs>
        <w:ind w:left="2160" w:hanging="360"/>
      </w:pPr>
      <w:rPr>
        <w:rFonts w:ascii="Wingdings" w:hAnsi="Wingdings" w:cs="Wingdings" w:hint="default"/>
      </w:rPr>
    </w:lvl>
    <w:lvl w:ilvl="3" w:tplc="E28E06F0">
      <w:start w:val="1"/>
      <w:numFmt w:val="bullet"/>
      <w:lvlText w:val=""/>
      <w:lvlJc w:val="left"/>
      <w:pPr>
        <w:tabs>
          <w:tab w:val="num" w:pos="0"/>
        </w:tabs>
        <w:ind w:left="2880" w:hanging="360"/>
      </w:pPr>
      <w:rPr>
        <w:rFonts w:ascii="Symbol" w:hAnsi="Symbol" w:cs="Symbol" w:hint="default"/>
      </w:rPr>
    </w:lvl>
    <w:lvl w:ilvl="4" w:tplc="A08EEAEE">
      <w:start w:val="1"/>
      <w:numFmt w:val="bullet"/>
      <w:lvlText w:val="o"/>
      <w:lvlJc w:val="left"/>
      <w:pPr>
        <w:tabs>
          <w:tab w:val="num" w:pos="0"/>
        </w:tabs>
        <w:ind w:left="3600" w:hanging="360"/>
      </w:pPr>
      <w:rPr>
        <w:rFonts w:ascii="Courier New" w:hAnsi="Courier New" w:cs="Courier New" w:hint="default"/>
      </w:rPr>
    </w:lvl>
    <w:lvl w:ilvl="5" w:tplc="3EAEE27A">
      <w:start w:val="1"/>
      <w:numFmt w:val="bullet"/>
      <w:lvlText w:val=""/>
      <w:lvlJc w:val="left"/>
      <w:pPr>
        <w:tabs>
          <w:tab w:val="num" w:pos="0"/>
        </w:tabs>
        <w:ind w:left="4320" w:hanging="360"/>
      </w:pPr>
      <w:rPr>
        <w:rFonts w:ascii="Wingdings" w:hAnsi="Wingdings" w:cs="Wingdings" w:hint="default"/>
      </w:rPr>
    </w:lvl>
    <w:lvl w:ilvl="6" w:tplc="1C765FAE">
      <w:start w:val="1"/>
      <w:numFmt w:val="bullet"/>
      <w:lvlText w:val=""/>
      <w:lvlJc w:val="left"/>
      <w:pPr>
        <w:tabs>
          <w:tab w:val="num" w:pos="0"/>
        </w:tabs>
        <w:ind w:left="5040" w:hanging="360"/>
      </w:pPr>
      <w:rPr>
        <w:rFonts w:ascii="Symbol" w:hAnsi="Symbol" w:cs="Symbol" w:hint="default"/>
      </w:rPr>
    </w:lvl>
    <w:lvl w:ilvl="7" w:tplc="FFBC5632">
      <w:start w:val="1"/>
      <w:numFmt w:val="bullet"/>
      <w:lvlText w:val="o"/>
      <w:lvlJc w:val="left"/>
      <w:pPr>
        <w:tabs>
          <w:tab w:val="num" w:pos="0"/>
        </w:tabs>
        <w:ind w:left="5760" w:hanging="360"/>
      </w:pPr>
      <w:rPr>
        <w:rFonts w:ascii="Courier New" w:hAnsi="Courier New" w:cs="Courier New" w:hint="default"/>
      </w:rPr>
    </w:lvl>
    <w:lvl w:ilvl="8" w:tplc="38C662F4">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5061658C"/>
    <w:multiLevelType w:val="hybridMultilevel"/>
    <w:tmpl w:val="07E08780"/>
    <w:lvl w:ilvl="0" w:tplc="B81C8F04">
      <w:start w:val="1"/>
      <w:numFmt w:val="bullet"/>
      <w:lvlText w:val=""/>
      <w:lvlJc w:val="left"/>
      <w:pPr>
        <w:tabs>
          <w:tab w:val="num" w:pos="0"/>
        </w:tabs>
        <w:ind w:left="1287" w:hanging="360"/>
      </w:pPr>
      <w:rPr>
        <w:rFonts w:ascii="Symbol" w:hAnsi="Symbol" w:cs="Symbol" w:hint="default"/>
      </w:rPr>
    </w:lvl>
    <w:lvl w:ilvl="1" w:tplc="2C566600">
      <w:start w:val="1"/>
      <w:numFmt w:val="bullet"/>
      <w:lvlText w:val="o"/>
      <w:lvlJc w:val="left"/>
      <w:pPr>
        <w:tabs>
          <w:tab w:val="num" w:pos="0"/>
        </w:tabs>
        <w:ind w:left="2007" w:hanging="360"/>
      </w:pPr>
      <w:rPr>
        <w:rFonts w:ascii="Courier New" w:hAnsi="Courier New" w:cs="Courier New" w:hint="default"/>
      </w:rPr>
    </w:lvl>
    <w:lvl w:ilvl="2" w:tplc="96526E18">
      <w:start w:val="1"/>
      <w:numFmt w:val="bullet"/>
      <w:lvlText w:val=""/>
      <w:lvlJc w:val="left"/>
      <w:pPr>
        <w:tabs>
          <w:tab w:val="num" w:pos="0"/>
        </w:tabs>
        <w:ind w:left="2727" w:hanging="360"/>
      </w:pPr>
      <w:rPr>
        <w:rFonts w:ascii="Wingdings" w:hAnsi="Wingdings" w:cs="Wingdings" w:hint="default"/>
      </w:rPr>
    </w:lvl>
    <w:lvl w:ilvl="3" w:tplc="FB988D0C">
      <w:start w:val="1"/>
      <w:numFmt w:val="bullet"/>
      <w:lvlText w:val=""/>
      <w:lvlJc w:val="left"/>
      <w:pPr>
        <w:tabs>
          <w:tab w:val="num" w:pos="0"/>
        </w:tabs>
        <w:ind w:left="3447" w:hanging="360"/>
      </w:pPr>
      <w:rPr>
        <w:rFonts w:ascii="Symbol" w:hAnsi="Symbol" w:cs="Symbol" w:hint="default"/>
      </w:rPr>
    </w:lvl>
    <w:lvl w:ilvl="4" w:tplc="9A1A721A">
      <w:start w:val="1"/>
      <w:numFmt w:val="bullet"/>
      <w:lvlText w:val="o"/>
      <w:lvlJc w:val="left"/>
      <w:pPr>
        <w:tabs>
          <w:tab w:val="num" w:pos="0"/>
        </w:tabs>
        <w:ind w:left="4167" w:hanging="360"/>
      </w:pPr>
      <w:rPr>
        <w:rFonts w:ascii="Courier New" w:hAnsi="Courier New" w:cs="Courier New" w:hint="default"/>
      </w:rPr>
    </w:lvl>
    <w:lvl w:ilvl="5" w:tplc="DD442140">
      <w:start w:val="1"/>
      <w:numFmt w:val="bullet"/>
      <w:lvlText w:val=""/>
      <w:lvlJc w:val="left"/>
      <w:pPr>
        <w:tabs>
          <w:tab w:val="num" w:pos="0"/>
        </w:tabs>
        <w:ind w:left="4887" w:hanging="360"/>
      </w:pPr>
      <w:rPr>
        <w:rFonts w:ascii="Wingdings" w:hAnsi="Wingdings" w:cs="Wingdings" w:hint="default"/>
      </w:rPr>
    </w:lvl>
    <w:lvl w:ilvl="6" w:tplc="0A70E362">
      <w:start w:val="1"/>
      <w:numFmt w:val="bullet"/>
      <w:lvlText w:val=""/>
      <w:lvlJc w:val="left"/>
      <w:pPr>
        <w:tabs>
          <w:tab w:val="num" w:pos="0"/>
        </w:tabs>
        <w:ind w:left="5607" w:hanging="360"/>
      </w:pPr>
      <w:rPr>
        <w:rFonts w:ascii="Symbol" w:hAnsi="Symbol" w:cs="Symbol" w:hint="default"/>
      </w:rPr>
    </w:lvl>
    <w:lvl w:ilvl="7" w:tplc="E4E024D6">
      <w:start w:val="1"/>
      <w:numFmt w:val="bullet"/>
      <w:lvlText w:val="o"/>
      <w:lvlJc w:val="left"/>
      <w:pPr>
        <w:tabs>
          <w:tab w:val="num" w:pos="0"/>
        </w:tabs>
        <w:ind w:left="6327" w:hanging="360"/>
      </w:pPr>
      <w:rPr>
        <w:rFonts w:ascii="Courier New" w:hAnsi="Courier New" w:cs="Courier New" w:hint="default"/>
      </w:rPr>
    </w:lvl>
    <w:lvl w:ilvl="8" w:tplc="694047A6">
      <w:start w:val="1"/>
      <w:numFmt w:val="bullet"/>
      <w:lvlText w:val=""/>
      <w:lvlJc w:val="left"/>
      <w:pPr>
        <w:tabs>
          <w:tab w:val="num" w:pos="0"/>
        </w:tabs>
        <w:ind w:left="7047" w:hanging="360"/>
      </w:pPr>
      <w:rPr>
        <w:rFonts w:ascii="Wingdings" w:hAnsi="Wingdings" w:cs="Wingdings" w:hint="default"/>
      </w:rPr>
    </w:lvl>
  </w:abstractNum>
  <w:abstractNum w:abstractNumId="49" w15:restartNumberingAfterBreak="0">
    <w:nsid w:val="5453459F"/>
    <w:multiLevelType w:val="hybridMultilevel"/>
    <w:tmpl w:val="5380CF82"/>
    <w:lvl w:ilvl="0" w:tplc="519C2E36">
      <w:start w:val="1"/>
      <w:numFmt w:val="decimal"/>
      <w:lvlText w:val="%1."/>
      <w:lvlJc w:val="left"/>
      <w:pPr>
        <w:tabs>
          <w:tab w:val="num" w:pos="0"/>
        </w:tabs>
        <w:ind w:left="720" w:hanging="360"/>
      </w:pPr>
    </w:lvl>
    <w:lvl w:ilvl="1" w:tplc="41E8EC52">
      <w:start w:val="1"/>
      <w:numFmt w:val="lowerLetter"/>
      <w:lvlText w:val="%2."/>
      <w:lvlJc w:val="left"/>
      <w:pPr>
        <w:tabs>
          <w:tab w:val="num" w:pos="0"/>
        </w:tabs>
        <w:ind w:left="1440" w:hanging="360"/>
      </w:pPr>
    </w:lvl>
    <w:lvl w:ilvl="2" w:tplc="CDFA9D3E">
      <w:start w:val="1"/>
      <w:numFmt w:val="lowerRoman"/>
      <w:lvlText w:val="%3."/>
      <w:lvlJc w:val="right"/>
      <w:pPr>
        <w:tabs>
          <w:tab w:val="num" w:pos="0"/>
        </w:tabs>
        <w:ind w:left="2160" w:hanging="180"/>
      </w:pPr>
    </w:lvl>
    <w:lvl w:ilvl="3" w:tplc="F65813E8">
      <w:start w:val="1"/>
      <w:numFmt w:val="decimal"/>
      <w:lvlText w:val="%4."/>
      <w:lvlJc w:val="left"/>
      <w:pPr>
        <w:tabs>
          <w:tab w:val="num" w:pos="0"/>
        </w:tabs>
        <w:ind w:left="2880" w:hanging="360"/>
      </w:pPr>
    </w:lvl>
    <w:lvl w:ilvl="4" w:tplc="070E05E2">
      <w:start w:val="1"/>
      <w:numFmt w:val="lowerLetter"/>
      <w:lvlText w:val="%5."/>
      <w:lvlJc w:val="left"/>
      <w:pPr>
        <w:tabs>
          <w:tab w:val="num" w:pos="0"/>
        </w:tabs>
        <w:ind w:left="3600" w:hanging="360"/>
      </w:pPr>
    </w:lvl>
    <w:lvl w:ilvl="5" w:tplc="EF345BDA">
      <w:start w:val="1"/>
      <w:numFmt w:val="lowerRoman"/>
      <w:lvlText w:val="%6."/>
      <w:lvlJc w:val="right"/>
      <w:pPr>
        <w:tabs>
          <w:tab w:val="num" w:pos="0"/>
        </w:tabs>
        <w:ind w:left="4320" w:hanging="180"/>
      </w:pPr>
    </w:lvl>
    <w:lvl w:ilvl="6" w:tplc="52B0B10E">
      <w:start w:val="1"/>
      <w:numFmt w:val="decimal"/>
      <w:lvlText w:val="%7."/>
      <w:lvlJc w:val="left"/>
      <w:pPr>
        <w:tabs>
          <w:tab w:val="num" w:pos="0"/>
        </w:tabs>
        <w:ind w:left="5040" w:hanging="360"/>
      </w:pPr>
    </w:lvl>
    <w:lvl w:ilvl="7" w:tplc="DDCC7FB6">
      <w:start w:val="1"/>
      <w:numFmt w:val="lowerLetter"/>
      <w:lvlText w:val="%8."/>
      <w:lvlJc w:val="left"/>
      <w:pPr>
        <w:tabs>
          <w:tab w:val="num" w:pos="0"/>
        </w:tabs>
        <w:ind w:left="5760" w:hanging="360"/>
      </w:pPr>
    </w:lvl>
    <w:lvl w:ilvl="8" w:tplc="FCAE5484">
      <w:start w:val="1"/>
      <w:numFmt w:val="lowerRoman"/>
      <w:lvlText w:val="%9."/>
      <w:lvlJc w:val="right"/>
      <w:pPr>
        <w:tabs>
          <w:tab w:val="num" w:pos="0"/>
        </w:tabs>
        <w:ind w:left="6480" w:hanging="180"/>
      </w:pPr>
    </w:lvl>
  </w:abstractNum>
  <w:abstractNum w:abstractNumId="50" w15:restartNumberingAfterBreak="0">
    <w:nsid w:val="575D65BD"/>
    <w:multiLevelType w:val="hybridMultilevel"/>
    <w:tmpl w:val="BA04CB3C"/>
    <w:lvl w:ilvl="0" w:tplc="579099F0">
      <w:start w:val="1"/>
      <w:numFmt w:val="decimal"/>
      <w:lvlText w:val="%1."/>
      <w:lvlJc w:val="left"/>
      <w:pPr>
        <w:tabs>
          <w:tab w:val="num" w:pos="0"/>
        </w:tabs>
        <w:ind w:left="720" w:hanging="360"/>
      </w:pPr>
    </w:lvl>
    <w:lvl w:ilvl="1" w:tplc="0D98EA46">
      <w:start w:val="1"/>
      <w:numFmt w:val="lowerLetter"/>
      <w:lvlText w:val="%2."/>
      <w:lvlJc w:val="left"/>
      <w:pPr>
        <w:tabs>
          <w:tab w:val="num" w:pos="0"/>
        </w:tabs>
        <w:ind w:left="1440" w:hanging="360"/>
      </w:pPr>
    </w:lvl>
    <w:lvl w:ilvl="2" w:tplc="1B32C316">
      <w:start w:val="1"/>
      <w:numFmt w:val="lowerRoman"/>
      <w:lvlText w:val="%3."/>
      <w:lvlJc w:val="right"/>
      <w:pPr>
        <w:tabs>
          <w:tab w:val="num" w:pos="0"/>
        </w:tabs>
        <w:ind w:left="2160" w:hanging="180"/>
      </w:pPr>
    </w:lvl>
    <w:lvl w:ilvl="3" w:tplc="BCD863FE">
      <w:start w:val="1"/>
      <w:numFmt w:val="decimal"/>
      <w:lvlText w:val="%4."/>
      <w:lvlJc w:val="left"/>
      <w:pPr>
        <w:tabs>
          <w:tab w:val="num" w:pos="0"/>
        </w:tabs>
        <w:ind w:left="2880" w:hanging="360"/>
      </w:pPr>
    </w:lvl>
    <w:lvl w:ilvl="4" w:tplc="78B0947A">
      <w:start w:val="1"/>
      <w:numFmt w:val="lowerLetter"/>
      <w:lvlText w:val="%5."/>
      <w:lvlJc w:val="left"/>
      <w:pPr>
        <w:tabs>
          <w:tab w:val="num" w:pos="0"/>
        </w:tabs>
        <w:ind w:left="3600" w:hanging="360"/>
      </w:pPr>
    </w:lvl>
    <w:lvl w:ilvl="5" w:tplc="8988BD5C">
      <w:start w:val="1"/>
      <w:numFmt w:val="lowerRoman"/>
      <w:lvlText w:val="%6."/>
      <w:lvlJc w:val="right"/>
      <w:pPr>
        <w:tabs>
          <w:tab w:val="num" w:pos="0"/>
        </w:tabs>
        <w:ind w:left="4320" w:hanging="180"/>
      </w:pPr>
    </w:lvl>
    <w:lvl w:ilvl="6" w:tplc="1F685D7A">
      <w:start w:val="1"/>
      <w:numFmt w:val="decimal"/>
      <w:lvlText w:val="%7."/>
      <w:lvlJc w:val="left"/>
      <w:pPr>
        <w:tabs>
          <w:tab w:val="num" w:pos="0"/>
        </w:tabs>
        <w:ind w:left="5040" w:hanging="360"/>
      </w:pPr>
    </w:lvl>
    <w:lvl w:ilvl="7" w:tplc="A73E7412">
      <w:start w:val="1"/>
      <w:numFmt w:val="lowerLetter"/>
      <w:lvlText w:val="%8."/>
      <w:lvlJc w:val="left"/>
      <w:pPr>
        <w:tabs>
          <w:tab w:val="num" w:pos="0"/>
        </w:tabs>
        <w:ind w:left="5760" w:hanging="360"/>
      </w:pPr>
    </w:lvl>
    <w:lvl w:ilvl="8" w:tplc="6E7E5B20">
      <w:start w:val="1"/>
      <w:numFmt w:val="lowerRoman"/>
      <w:lvlText w:val="%9."/>
      <w:lvlJc w:val="right"/>
      <w:pPr>
        <w:tabs>
          <w:tab w:val="num" w:pos="0"/>
        </w:tabs>
        <w:ind w:left="6480" w:hanging="180"/>
      </w:pPr>
    </w:lvl>
  </w:abstractNum>
  <w:abstractNum w:abstractNumId="51" w15:restartNumberingAfterBreak="0">
    <w:nsid w:val="583B12D6"/>
    <w:multiLevelType w:val="multilevel"/>
    <w:tmpl w:val="539A9610"/>
    <w:lvl w:ilvl="0">
      <w:start w:val="1"/>
      <w:numFmt w:val="decimal"/>
      <w:lvlText w:val="%1."/>
      <w:lvlJc w:val="left"/>
      <w:pPr>
        <w:tabs>
          <w:tab w:val="num" w:pos="0"/>
        </w:tabs>
        <w:ind w:left="720" w:hanging="360"/>
      </w:pPr>
    </w:lvl>
    <w:lvl w:ilvl="1">
      <w:start w:val="2"/>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440" w:hanging="108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1800" w:hanging="1440"/>
      </w:pPr>
    </w:lvl>
  </w:abstractNum>
  <w:abstractNum w:abstractNumId="52" w15:restartNumberingAfterBreak="0">
    <w:nsid w:val="586035E4"/>
    <w:multiLevelType w:val="hybridMultilevel"/>
    <w:tmpl w:val="2F36AF7C"/>
    <w:lvl w:ilvl="0" w:tplc="DB1C65E4">
      <w:start w:val="1"/>
      <w:numFmt w:val="decimal"/>
      <w:lvlText w:val="%1."/>
      <w:lvlJc w:val="left"/>
      <w:pPr>
        <w:tabs>
          <w:tab w:val="num" w:pos="0"/>
        </w:tabs>
        <w:ind w:left="720" w:hanging="360"/>
      </w:pPr>
    </w:lvl>
    <w:lvl w:ilvl="1" w:tplc="64BACA24">
      <w:start w:val="1"/>
      <w:numFmt w:val="lowerLetter"/>
      <w:lvlText w:val="%2."/>
      <w:lvlJc w:val="left"/>
      <w:pPr>
        <w:tabs>
          <w:tab w:val="num" w:pos="0"/>
        </w:tabs>
        <w:ind w:left="1440" w:hanging="360"/>
      </w:pPr>
    </w:lvl>
    <w:lvl w:ilvl="2" w:tplc="644EA04C">
      <w:start w:val="1"/>
      <w:numFmt w:val="lowerRoman"/>
      <w:lvlText w:val="%3."/>
      <w:lvlJc w:val="right"/>
      <w:pPr>
        <w:tabs>
          <w:tab w:val="num" w:pos="0"/>
        </w:tabs>
        <w:ind w:left="2160" w:hanging="180"/>
      </w:pPr>
    </w:lvl>
    <w:lvl w:ilvl="3" w:tplc="014E84AC">
      <w:start w:val="1"/>
      <w:numFmt w:val="decimal"/>
      <w:lvlText w:val="%4."/>
      <w:lvlJc w:val="left"/>
      <w:pPr>
        <w:tabs>
          <w:tab w:val="num" w:pos="0"/>
        </w:tabs>
        <w:ind w:left="2880" w:hanging="360"/>
      </w:pPr>
    </w:lvl>
    <w:lvl w:ilvl="4" w:tplc="207A4C6C">
      <w:start w:val="1"/>
      <w:numFmt w:val="lowerLetter"/>
      <w:lvlText w:val="%5."/>
      <w:lvlJc w:val="left"/>
      <w:pPr>
        <w:tabs>
          <w:tab w:val="num" w:pos="0"/>
        </w:tabs>
        <w:ind w:left="3600" w:hanging="360"/>
      </w:pPr>
    </w:lvl>
    <w:lvl w:ilvl="5" w:tplc="295888A0">
      <w:start w:val="1"/>
      <w:numFmt w:val="lowerRoman"/>
      <w:lvlText w:val="%6."/>
      <w:lvlJc w:val="right"/>
      <w:pPr>
        <w:tabs>
          <w:tab w:val="num" w:pos="0"/>
        </w:tabs>
        <w:ind w:left="4320" w:hanging="180"/>
      </w:pPr>
    </w:lvl>
    <w:lvl w:ilvl="6" w:tplc="D4241D9A">
      <w:start w:val="1"/>
      <w:numFmt w:val="decimal"/>
      <w:lvlText w:val="%7."/>
      <w:lvlJc w:val="left"/>
      <w:pPr>
        <w:tabs>
          <w:tab w:val="num" w:pos="0"/>
        </w:tabs>
        <w:ind w:left="5040" w:hanging="360"/>
      </w:pPr>
    </w:lvl>
    <w:lvl w:ilvl="7" w:tplc="E522EAD4">
      <w:start w:val="1"/>
      <w:numFmt w:val="lowerLetter"/>
      <w:lvlText w:val="%8."/>
      <w:lvlJc w:val="left"/>
      <w:pPr>
        <w:tabs>
          <w:tab w:val="num" w:pos="0"/>
        </w:tabs>
        <w:ind w:left="5760" w:hanging="360"/>
      </w:pPr>
    </w:lvl>
    <w:lvl w:ilvl="8" w:tplc="67FE0802">
      <w:start w:val="1"/>
      <w:numFmt w:val="lowerRoman"/>
      <w:lvlText w:val="%9."/>
      <w:lvlJc w:val="right"/>
      <w:pPr>
        <w:tabs>
          <w:tab w:val="num" w:pos="0"/>
        </w:tabs>
        <w:ind w:left="6480" w:hanging="180"/>
      </w:pPr>
    </w:lvl>
  </w:abstractNum>
  <w:abstractNum w:abstractNumId="53" w15:restartNumberingAfterBreak="0">
    <w:nsid w:val="5BBA2C24"/>
    <w:multiLevelType w:val="hybridMultilevel"/>
    <w:tmpl w:val="323EFC26"/>
    <w:lvl w:ilvl="0" w:tplc="08DC460A">
      <w:start w:val="1"/>
      <w:numFmt w:val="decimal"/>
      <w:pStyle w:val="30"/>
      <w:lvlText w:val="%1."/>
      <w:lvlJc w:val="left"/>
      <w:pPr>
        <w:tabs>
          <w:tab w:val="num" w:pos="926"/>
        </w:tabs>
        <w:ind w:left="926" w:hanging="360"/>
      </w:pPr>
    </w:lvl>
    <w:lvl w:ilvl="1" w:tplc="6D18A0FE">
      <w:start w:val="1"/>
      <w:numFmt w:val="bullet"/>
      <w:lvlText w:val="o"/>
      <w:lvlJc w:val="left"/>
      <w:pPr>
        <w:tabs>
          <w:tab w:val="num" w:pos="0"/>
        </w:tabs>
        <w:ind w:left="1440" w:hanging="360"/>
      </w:pPr>
      <w:rPr>
        <w:rFonts w:ascii="Courier New" w:hAnsi="Courier New" w:cs="Courier New" w:hint="default"/>
      </w:rPr>
    </w:lvl>
    <w:lvl w:ilvl="2" w:tplc="E18C61AA">
      <w:start w:val="1"/>
      <w:numFmt w:val="bullet"/>
      <w:lvlText w:val="§"/>
      <w:lvlJc w:val="left"/>
      <w:pPr>
        <w:tabs>
          <w:tab w:val="num" w:pos="0"/>
        </w:tabs>
        <w:ind w:left="2160" w:hanging="360"/>
      </w:pPr>
      <w:rPr>
        <w:rFonts w:ascii="Wingdings" w:hAnsi="Wingdings" w:cs="Wingdings" w:hint="default"/>
      </w:rPr>
    </w:lvl>
    <w:lvl w:ilvl="3" w:tplc="40B26E72">
      <w:start w:val="1"/>
      <w:numFmt w:val="bullet"/>
      <w:lvlText w:val="·"/>
      <w:lvlJc w:val="left"/>
      <w:pPr>
        <w:tabs>
          <w:tab w:val="num" w:pos="0"/>
        </w:tabs>
        <w:ind w:left="2880" w:hanging="360"/>
      </w:pPr>
      <w:rPr>
        <w:rFonts w:ascii="Symbol" w:hAnsi="Symbol" w:cs="Symbol" w:hint="default"/>
      </w:rPr>
    </w:lvl>
    <w:lvl w:ilvl="4" w:tplc="8E946FD2">
      <w:start w:val="1"/>
      <w:numFmt w:val="bullet"/>
      <w:lvlText w:val="o"/>
      <w:lvlJc w:val="left"/>
      <w:pPr>
        <w:tabs>
          <w:tab w:val="num" w:pos="0"/>
        </w:tabs>
        <w:ind w:left="3600" w:hanging="360"/>
      </w:pPr>
      <w:rPr>
        <w:rFonts w:ascii="Courier New" w:hAnsi="Courier New" w:cs="Courier New" w:hint="default"/>
      </w:rPr>
    </w:lvl>
    <w:lvl w:ilvl="5" w:tplc="60A4D166">
      <w:start w:val="1"/>
      <w:numFmt w:val="bullet"/>
      <w:lvlText w:val="§"/>
      <w:lvlJc w:val="left"/>
      <w:pPr>
        <w:tabs>
          <w:tab w:val="num" w:pos="0"/>
        </w:tabs>
        <w:ind w:left="4320" w:hanging="360"/>
      </w:pPr>
      <w:rPr>
        <w:rFonts w:ascii="Wingdings" w:hAnsi="Wingdings" w:cs="Wingdings" w:hint="default"/>
      </w:rPr>
    </w:lvl>
    <w:lvl w:ilvl="6" w:tplc="E988BF7A">
      <w:start w:val="1"/>
      <w:numFmt w:val="bullet"/>
      <w:lvlText w:val="·"/>
      <w:lvlJc w:val="left"/>
      <w:pPr>
        <w:tabs>
          <w:tab w:val="num" w:pos="0"/>
        </w:tabs>
        <w:ind w:left="5040" w:hanging="360"/>
      </w:pPr>
      <w:rPr>
        <w:rFonts w:ascii="Symbol" w:hAnsi="Symbol" w:cs="Symbol" w:hint="default"/>
      </w:rPr>
    </w:lvl>
    <w:lvl w:ilvl="7" w:tplc="25FCBFD8">
      <w:start w:val="1"/>
      <w:numFmt w:val="bullet"/>
      <w:lvlText w:val="o"/>
      <w:lvlJc w:val="left"/>
      <w:pPr>
        <w:tabs>
          <w:tab w:val="num" w:pos="0"/>
        </w:tabs>
        <w:ind w:left="5760" w:hanging="360"/>
      </w:pPr>
      <w:rPr>
        <w:rFonts w:ascii="Courier New" w:hAnsi="Courier New" w:cs="Courier New" w:hint="default"/>
      </w:rPr>
    </w:lvl>
    <w:lvl w:ilvl="8" w:tplc="39A82D06">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5E7F751B"/>
    <w:multiLevelType w:val="hybridMultilevel"/>
    <w:tmpl w:val="D0E8CAEC"/>
    <w:lvl w:ilvl="0" w:tplc="540A8A00">
      <w:start w:val="1"/>
      <w:numFmt w:val="decimal"/>
      <w:lvlText w:val="%1."/>
      <w:lvlJc w:val="left"/>
      <w:pPr>
        <w:tabs>
          <w:tab w:val="num" w:pos="0"/>
        </w:tabs>
        <w:ind w:left="720" w:hanging="360"/>
      </w:pPr>
    </w:lvl>
    <w:lvl w:ilvl="1" w:tplc="C2049E46">
      <w:start w:val="1"/>
      <w:numFmt w:val="lowerLetter"/>
      <w:lvlText w:val="%2."/>
      <w:lvlJc w:val="left"/>
      <w:pPr>
        <w:tabs>
          <w:tab w:val="num" w:pos="0"/>
        </w:tabs>
        <w:ind w:left="1440" w:hanging="360"/>
      </w:pPr>
    </w:lvl>
    <w:lvl w:ilvl="2" w:tplc="541AF416">
      <w:start w:val="1"/>
      <w:numFmt w:val="lowerRoman"/>
      <w:lvlText w:val="%3."/>
      <w:lvlJc w:val="right"/>
      <w:pPr>
        <w:tabs>
          <w:tab w:val="num" w:pos="0"/>
        </w:tabs>
        <w:ind w:left="2160" w:hanging="180"/>
      </w:pPr>
    </w:lvl>
    <w:lvl w:ilvl="3" w:tplc="769492F2">
      <w:start w:val="1"/>
      <w:numFmt w:val="decimal"/>
      <w:lvlText w:val="%4."/>
      <w:lvlJc w:val="left"/>
      <w:pPr>
        <w:tabs>
          <w:tab w:val="num" w:pos="0"/>
        </w:tabs>
        <w:ind w:left="2880" w:hanging="360"/>
      </w:pPr>
    </w:lvl>
    <w:lvl w:ilvl="4" w:tplc="F40643C0">
      <w:start w:val="1"/>
      <w:numFmt w:val="lowerLetter"/>
      <w:lvlText w:val="%5."/>
      <w:lvlJc w:val="left"/>
      <w:pPr>
        <w:tabs>
          <w:tab w:val="num" w:pos="0"/>
        </w:tabs>
        <w:ind w:left="3600" w:hanging="360"/>
      </w:pPr>
    </w:lvl>
    <w:lvl w:ilvl="5" w:tplc="8770608C">
      <w:start w:val="1"/>
      <w:numFmt w:val="lowerRoman"/>
      <w:lvlText w:val="%6."/>
      <w:lvlJc w:val="right"/>
      <w:pPr>
        <w:tabs>
          <w:tab w:val="num" w:pos="0"/>
        </w:tabs>
        <w:ind w:left="4320" w:hanging="180"/>
      </w:pPr>
    </w:lvl>
    <w:lvl w:ilvl="6" w:tplc="6FD4A850">
      <w:start w:val="1"/>
      <w:numFmt w:val="decimal"/>
      <w:lvlText w:val="%7."/>
      <w:lvlJc w:val="left"/>
      <w:pPr>
        <w:tabs>
          <w:tab w:val="num" w:pos="0"/>
        </w:tabs>
        <w:ind w:left="5040" w:hanging="360"/>
      </w:pPr>
    </w:lvl>
    <w:lvl w:ilvl="7" w:tplc="7A4661C2">
      <w:start w:val="1"/>
      <w:numFmt w:val="lowerLetter"/>
      <w:lvlText w:val="%8."/>
      <w:lvlJc w:val="left"/>
      <w:pPr>
        <w:tabs>
          <w:tab w:val="num" w:pos="0"/>
        </w:tabs>
        <w:ind w:left="5760" w:hanging="360"/>
      </w:pPr>
    </w:lvl>
    <w:lvl w:ilvl="8" w:tplc="BB1E1012">
      <w:start w:val="1"/>
      <w:numFmt w:val="lowerRoman"/>
      <w:lvlText w:val="%9."/>
      <w:lvlJc w:val="right"/>
      <w:pPr>
        <w:tabs>
          <w:tab w:val="num" w:pos="0"/>
        </w:tabs>
        <w:ind w:left="6480" w:hanging="180"/>
      </w:pPr>
    </w:lvl>
  </w:abstractNum>
  <w:abstractNum w:abstractNumId="55" w15:restartNumberingAfterBreak="0">
    <w:nsid w:val="5FF467F3"/>
    <w:multiLevelType w:val="hybridMultilevel"/>
    <w:tmpl w:val="5C780272"/>
    <w:lvl w:ilvl="0" w:tplc="0740A614">
      <w:start w:val="1"/>
      <w:numFmt w:val="decimal"/>
      <w:lvlText w:val="%1."/>
      <w:lvlJc w:val="left"/>
      <w:pPr>
        <w:tabs>
          <w:tab w:val="num" w:pos="0"/>
        </w:tabs>
        <w:ind w:left="720" w:hanging="360"/>
      </w:pPr>
    </w:lvl>
    <w:lvl w:ilvl="1" w:tplc="B88EAE96">
      <w:start w:val="1"/>
      <w:numFmt w:val="lowerLetter"/>
      <w:lvlText w:val="%2."/>
      <w:lvlJc w:val="left"/>
      <w:pPr>
        <w:tabs>
          <w:tab w:val="num" w:pos="0"/>
        </w:tabs>
        <w:ind w:left="1440" w:hanging="360"/>
      </w:pPr>
    </w:lvl>
    <w:lvl w:ilvl="2" w:tplc="2D28B7CE">
      <w:start w:val="1"/>
      <w:numFmt w:val="lowerRoman"/>
      <w:lvlText w:val="%3."/>
      <w:lvlJc w:val="right"/>
      <w:pPr>
        <w:tabs>
          <w:tab w:val="num" w:pos="0"/>
        </w:tabs>
        <w:ind w:left="2160" w:hanging="180"/>
      </w:pPr>
    </w:lvl>
    <w:lvl w:ilvl="3" w:tplc="EDDEDCC8">
      <w:start w:val="1"/>
      <w:numFmt w:val="decimal"/>
      <w:lvlText w:val="%4."/>
      <w:lvlJc w:val="left"/>
      <w:pPr>
        <w:tabs>
          <w:tab w:val="num" w:pos="0"/>
        </w:tabs>
        <w:ind w:left="2880" w:hanging="360"/>
      </w:pPr>
    </w:lvl>
    <w:lvl w:ilvl="4" w:tplc="A70278F2">
      <w:start w:val="1"/>
      <w:numFmt w:val="lowerLetter"/>
      <w:lvlText w:val="%5."/>
      <w:lvlJc w:val="left"/>
      <w:pPr>
        <w:tabs>
          <w:tab w:val="num" w:pos="0"/>
        </w:tabs>
        <w:ind w:left="3600" w:hanging="360"/>
      </w:pPr>
    </w:lvl>
    <w:lvl w:ilvl="5" w:tplc="53A2FF60">
      <w:start w:val="1"/>
      <w:numFmt w:val="lowerRoman"/>
      <w:lvlText w:val="%6."/>
      <w:lvlJc w:val="right"/>
      <w:pPr>
        <w:tabs>
          <w:tab w:val="num" w:pos="0"/>
        </w:tabs>
        <w:ind w:left="4320" w:hanging="180"/>
      </w:pPr>
    </w:lvl>
    <w:lvl w:ilvl="6" w:tplc="8C42660E">
      <w:start w:val="1"/>
      <w:numFmt w:val="decimal"/>
      <w:lvlText w:val="%7."/>
      <w:lvlJc w:val="left"/>
      <w:pPr>
        <w:tabs>
          <w:tab w:val="num" w:pos="0"/>
        </w:tabs>
        <w:ind w:left="5040" w:hanging="360"/>
      </w:pPr>
    </w:lvl>
    <w:lvl w:ilvl="7" w:tplc="8E5CD41A">
      <w:start w:val="1"/>
      <w:numFmt w:val="lowerLetter"/>
      <w:lvlText w:val="%8."/>
      <w:lvlJc w:val="left"/>
      <w:pPr>
        <w:tabs>
          <w:tab w:val="num" w:pos="0"/>
        </w:tabs>
        <w:ind w:left="5760" w:hanging="360"/>
      </w:pPr>
    </w:lvl>
    <w:lvl w:ilvl="8" w:tplc="8C24ACAE">
      <w:start w:val="1"/>
      <w:numFmt w:val="lowerRoman"/>
      <w:lvlText w:val="%9."/>
      <w:lvlJc w:val="right"/>
      <w:pPr>
        <w:tabs>
          <w:tab w:val="num" w:pos="0"/>
        </w:tabs>
        <w:ind w:left="6480" w:hanging="180"/>
      </w:pPr>
    </w:lvl>
  </w:abstractNum>
  <w:abstractNum w:abstractNumId="56" w15:restartNumberingAfterBreak="0">
    <w:nsid w:val="608D46BB"/>
    <w:multiLevelType w:val="hybridMultilevel"/>
    <w:tmpl w:val="7CA0A6E2"/>
    <w:lvl w:ilvl="0" w:tplc="CFD82FC6">
      <w:start w:val="1"/>
      <w:numFmt w:val="decimal"/>
      <w:lvlText w:val="%1."/>
      <w:lvlJc w:val="left"/>
      <w:pPr>
        <w:tabs>
          <w:tab w:val="num" w:pos="0"/>
        </w:tabs>
        <w:ind w:left="720" w:hanging="360"/>
      </w:pPr>
    </w:lvl>
    <w:lvl w:ilvl="1" w:tplc="3086CA0A">
      <w:start w:val="1"/>
      <w:numFmt w:val="lowerLetter"/>
      <w:lvlText w:val="%2."/>
      <w:lvlJc w:val="left"/>
      <w:pPr>
        <w:tabs>
          <w:tab w:val="num" w:pos="0"/>
        </w:tabs>
        <w:ind w:left="1440" w:hanging="360"/>
      </w:pPr>
    </w:lvl>
    <w:lvl w:ilvl="2" w:tplc="9966539C">
      <w:start w:val="1"/>
      <w:numFmt w:val="lowerRoman"/>
      <w:lvlText w:val="%3."/>
      <w:lvlJc w:val="right"/>
      <w:pPr>
        <w:tabs>
          <w:tab w:val="num" w:pos="0"/>
        </w:tabs>
        <w:ind w:left="2160" w:hanging="180"/>
      </w:pPr>
    </w:lvl>
    <w:lvl w:ilvl="3" w:tplc="E188A318">
      <w:start w:val="1"/>
      <w:numFmt w:val="decimal"/>
      <w:lvlText w:val="%4."/>
      <w:lvlJc w:val="left"/>
      <w:pPr>
        <w:tabs>
          <w:tab w:val="num" w:pos="0"/>
        </w:tabs>
        <w:ind w:left="2880" w:hanging="360"/>
      </w:pPr>
    </w:lvl>
    <w:lvl w:ilvl="4" w:tplc="6C92A0FC">
      <w:start w:val="1"/>
      <w:numFmt w:val="lowerLetter"/>
      <w:lvlText w:val="%5."/>
      <w:lvlJc w:val="left"/>
      <w:pPr>
        <w:tabs>
          <w:tab w:val="num" w:pos="0"/>
        </w:tabs>
        <w:ind w:left="3600" w:hanging="360"/>
      </w:pPr>
    </w:lvl>
    <w:lvl w:ilvl="5" w:tplc="9230A7EC">
      <w:start w:val="1"/>
      <w:numFmt w:val="lowerRoman"/>
      <w:lvlText w:val="%6."/>
      <w:lvlJc w:val="right"/>
      <w:pPr>
        <w:tabs>
          <w:tab w:val="num" w:pos="0"/>
        </w:tabs>
        <w:ind w:left="4320" w:hanging="180"/>
      </w:pPr>
    </w:lvl>
    <w:lvl w:ilvl="6" w:tplc="78F6FA3C">
      <w:start w:val="1"/>
      <w:numFmt w:val="decimal"/>
      <w:lvlText w:val="%7."/>
      <w:lvlJc w:val="left"/>
      <w:pPr>
        <w:tabs>
          <w:tab w:val="num" w:pos="0"/>
        </w:tabs>
        <w:ind w:left="5040" w:hanging="360"/>
      </w:pPr>
    </w:lvl>
    <w:lvl w:ilvl="7" w:tplc="9A66B726">
      <w:start w:val="1"/>
      <w:numFmt w:val="lowerLetter"/>
      <w:lvlText w:val="%8."/>
      <w:lvlJc w:val="left"/>
      <w:pPr>
        <w:tabs>
          <w:tab w:val="num" w:pos="0"/>
        </w:tabs>
        <w:ind w:left="5760" w:hanging="360"/>
      </w:pPr>
    </w:lvl>
    <w:lvl w:ilvl="8" w:tplc="DB503256">
      <w:start w:val="1"/>
      <w:numFmt w:val="lowerRoman"/>
      <w:lvlText w:val="%9."/>
      <w:lvlJc w:val="right"/>
      <w:pPr>
        <w:tabs>
          <w:tab w:val="num" w:pos="0"/>
        </w:tabs>
        <w:ind w:left="6480" w:hanging="180"/>
      </w:pPr>
    </w:lvl>
  </w:abstractNum>
  <w:abstractNum w:abstractNumId="57" w15:restartNumberingAfterBreak="0">
    <w:nsid w:val="618046F0"/>
    <w:multiLevelType w:val="hybridMultilevel"/>
    <w:tmpl w:val="446E9644"/>
    <w:lvl w:ilvl="0" w:tplc="36FCAAAC">
      <w:start w:val="1"/>
      <w:numFmt w:val="decimal"/>
      <w:lvlText w:val="%1."/>
      <w:lvlJc w:val="left"/>
      <w:pPr>
        <w:tabs>
          <w:tab w:val="num" w:pos="0"/>
        </w:tabs>
        <w:ind w:left="720" w:hanging="360"/>
      </w:pPr>
    </w:lvl>
    <w:lvl w:ilvl="1" w:tplc="2D103E1A">
      <w:start w:val="1"/>
      <w:numFmt w:val="lowerLetter"/>
      <w:lvlText w:val="%2."/>
      <w:lvlJc w:val="left"/>
      <w:pPr>
        <w:tabs>
          <w:tab w:val="num" w:pos="0"/>
        </w:tabs>
        <w:ind w:left="1440" w:hanging="360"/>
      </w:pPr>
    </w:lvl>
    <w:lvl w:ilvl="2" w:tplc="C1822624">
      <w:start w:val="1"/>
      <w:numFmt w:val="lowerRoman"/>
      <w:lvlText w:val="%3."/>
      <w:lvlJc w:val="right"/>
      <w:pPr>
        <w:tabs>
          <w:tab w:val="num" w:pos="0"/>
        </w:tabs>
        <w:ind w:left="2160" w:hanging="180"/>
      </w:pPr>
    </w:lvl>
    <w:lvl w:ilvl="3" w:tplc="BCD613D8">
      <w:start w:val="1"/>
      <w:numFmt w:val="decimal"/>
      <w:lvlText w:val="%4."/>
      <w:lvlJc w:val="left"/>
      <w:pPr>
        <w:tabs>
          <w:tab w:val="num" w:pos="0"/>
        </w:tabs>
        <w:ind w:left="2880" w:hanging="360"/>
      </w:pPr>
    </w:lvl>
    <w:lvl w:ilvl="4" w:tplc="CA3E302A">
      <w:start w:val="1"/>
      <w:numFmt w:val="lowerLetter"/>
      <w:lvlText w:val="%5."/>
      <w:lvlJc w:val="left"/>
      <w:pPr>
        <w:tabs>
          <w:tab w:val="num" w:pos="0"/>
        </w:tabs>
        <w:ind w:left="3600" w:hanging="360"/>
      </w:pPr>
    </w:lvl>
    <w:lvl w:ilvl="5" w:tplc="456A6A50">
      <w:start w:val="1"/>
      <w:numFmt w:val="lowerRoman"/>
      <w:lvlText w:val="%6."/>
      <w:lvlJc w:val="right"/>
      <w:pPr>
        <w:tabs>
          <w:tab w:val="num" w:pos="0"/>
        </w:tabs>
        <w:ind w:left="4320" w:hanging="180"/>
      </w:pPr>
    </w:lvl>
    <w:lvl w:ilvl="6" w:tplc="FC04DE06">
      <w:start w:val="1"/>
      <w:numFmt w:val="decimal"/>
      <w:lvlText w:val="%7."/>
      <w:lvlJc w:val="left"/>
      <w:pPr>
        <w:tabs>
          <w:tab w:val="num" w:pos="0"/>
        </w:tabs>
        <w:ind w:left="5040" w:hanging="360"/>
      </w:pPr>
    </w:lvl>
    <w:lvl w:ilvl="7" w:tplc="18B081A8">
      <w:start w:val="1"/>
      <w:numFmt w:val="lowerLetter"/>
      <w:lvlText w:val="%8."/>
      <w:lvlJc w:val="left"/>
      <w:pPr>
        <w:tabs>
          <w:tab w:val="num" w:pos="0"/>
        </w:tabs>
        <w:ind w:left="5760" w:hanging="360"/>
      </w:pPr>
    </w:lvl>
    <w:lvl w:ilvl="8" w:tplc="88883F6C">
      <w:start w:val="1"/>
      <w:numFmt w:val="lowerRoman"/>
      <w:lvlText w:val="%9."/>
      <w:lvlJc w:val="right"/>
      <w:pPr>
        <w:tabs>
          <w:tab w:val="num" w:pos="0"/>
        </w:tabs>
        <w:ind w:left="6480" w:hanging="180"/>
      </w:pPr>
    </w:lvl>
  </w:abstractNum>
  <w:abstractNum w:abstractNumId="58" w15:restartNumberingAfterBreak="0">
    <w:nsid w:val="619316B9"/>
    <w:multiLevelType w:val="hybridMultilevel"/>
    <w:tmpl w:val="D17E8106"/>
    <w:lvl w:ilvl="0" w:tplc="20CA596E">
      <w:start w:val="1"/>
      <w:numFmt w:val="bullet"/>
      <w:pStyle w:val="a0"/>
      <w:lvlText w:val=""/>
      <w:lvlJc w:val="left"/>
      <w:pPr>
        <w:tabs>
          <w:tab w:val="num" w:pos="360"/>
        </w:tabs>
        <w:ind w:left="360" w:hanging="360"/>
      </w:pPr>
      <w:rPr>
        <w:rFonts w:ascii="Symbol" w:hAnsi="Symbol" w:cs="Symbol" w:hint="default"/>
      </w:rPr>
    </w:lvl>
    <w:lvl w:ilvl="1" w:tplc="491E53B4">
      <w:start w:val="1"/>
      <w:numFmt w:val="bullet"/>
      <w:lvlText w:val="o"/>
      <w:lvlJc w:val="left"/>
      <w:pPr>
        <w:tabs>
          <w:tab w:val="num" w:pos="0"/>
        </w:tabs>
        <w:ind w:left="1440" w:hanging="360"/>
      </w:pPr>
      <w:rPr>
        <w:rFonts w:ascii="Courier New" w:hAnsi="Courier New" w:cs="Courier New" w:hint="default"/>
      </w:rPr>
    </w:lvl>
    <w:lvl w:ilvl="2" w:tplc="7C6806B4">
      <w:start w:val="1"/>
      <w:numFmt w:val="bullet"/>
      <w:lvlText w:val="§"/>
      <w:lvlJc w:val="left"/>
      <w:pPr>
        <w:tabs>
          <w:tab w:val="num" w:pos="0"/>
        </w:tabs>
        <w:ind w:left="2160" w:hanging="360"/>
      </w:pPr>
      <w:rPr>
        <w:rFonts w:ascii="Wingdings" w:hAnsi="Wingdings" w:cs="Wingdings" w:hint="default"/>
      </w:rPr>
    </w:lvl>
    <w:lvl w:ilvl="3" w:tplc="9B30268C">
      <w:start w:val="1"/>
      <w:numFmt w:val="bullet"/>
      <w:lvlText w:val="·"/>
      <w:lvlJc w:val="left"/>
      <w:pPr>
        <w:tabs>
          <w:tab w:val="num" w:pos="0"/>
        </w:tabs>
        <w:ind w:left="2880" w:hanging="360"/>
      </w:pPr>
      <w:rPr>
        <w:rFonts w:ascii="Symbol" w:hAnsi="Symbol" w:cs="Symbol" w:hint="default"/>
      </w:rPr>
    </w:lvl>
    <w:lvl w:ilvl="4" w:tplc="0B18FD62">
      <w:start w:val="1"/>
      <w:numFmt w:val="bullet"/>
      <w:lvlText w:val="o"/>
      <w:lvlJc w:val="left"/>
      <w:pPr>
        <w:tabs>
          <w:tab w:val="num" w:pos="0"/>
        </w:tabs>
        <w:ind w:left="3600" w:hanging="360"/>
      </w:pPr>
      <w:rPr>
        <w:rFonts w:ascii="Courier New" w:hAnsi="Courier New" w:cs="Courier New" w:hint="default"/>
      </w:rPr>
    </w:lvl>
    <w:lvl w:ilvl="5" w:tplc="20F48F40">
      <w:start w:val="1"/>
      <w:numFmt w:val="bullet"/>
      <w:lvlText w:val="§"/>
      <w:lvlJc w:val="left"/>
      <w:pPr>
        <w:tabs>
          <w:tab w:val="num" w:pos="0"/>
        </w:tabs>
        <w:ind w:left="4320" w:hanging="360"/>
      </w:pPr>
      <w:rPr>
        <w:rFonts w:ascii="Wingdings" w:hAnsi="Wingdings" w:cs="Wingdings" w:hint="default"/>
      </w:rPr>
    </w:lvl>
    <w:lvl w:ilvl="6" w:tplc="1A5A4F2E">
      <w:start w:val="1"/>
      <w:numFmt w:val="bullet"/>
      <w:lvlText w:val="·"/>
      <w:lvlJc w:val="left"/>
      <w:pPr>
        <w:tabs>
          <w:tab w:val="num" w:pos="0"/>
        </w:tabs>
        <w:ind w:left="5040" w:hanging="360"/>
      </w:pPr>
      <w:rPr>
        <w:rFonts w:ascii="Symbol" w:hAnsi="Symbol" w:cs="Symbol" w:hint="default"/>
      </w:rPr>
    </w:lvl>
    <w:lvl w:ilvl="7" w:tplc="1FC637CA">
      <w:start w:val="1"/>
      <w:numFmt w:val="bullet"/>
      <w:lvlText w:val="o"/>
      <w:lvlJc w:val="left"/>
      <w:pPr>
        <w:tabs>
          <w:tab w:val="num" w:pos="0"/>
        </w:tabs>
        <w:ind w:left="5760" w:hanging="360"/>
      </w:pPr>
      <w:rPr>
        <w:rFonts w:ascii="Courier New" w:hAnsi="Courier New" w:cs="Courier New" w:hint="default"/>
      </w:rPr>
    </w:lvl>
    <w:lvl w:ilvl="8" w:tplc="95161ABE">
      <w:start w:val="1"/>
      <w:numFmt w:val="bullet"/>
      <w:lvlText w:val="§"/>
      <w:lvlJc w:val="left"/>
      <w:pPr>
        <w:tabs>
          <w:tab w:val="num" w:pos="0"/>
        </w:tabs>
        <w:ind w:left="6480" w:hanging="360"/>
      </w:pPr>
      <w:rPr>
        <w:rFonts w:ascii="Wingdings" w:hAnsi="Wingdings" w:cs="Wingdings" w:hint="default"/>
      </w:rPr>
    </w:lvl>
  </w:abstractNum>
  <w:abstractNum w:abstractNumId="59" w15:restartNumberingAfterBreak="0">
    <w:nsid w:val="62A804A3"/>
    <w:multiLevelType w:val="hybridMultilevel"/>
    <w:tmpl w:val="047A00F6"/>
    <w:lvl w:ilvl="0" w:tplc="55BECD16">
      <w:start w:val="1"/>
      <w:numFmt w:val="decimal"/>
      <w:lvlText w:val="%1."/>
      <w:lvlJc w:val="left"/>
      <w:pPr>
        <w:tabs>
          <w:tab w:val="num" w:pos="0"/>
        </w:tabs>
        <w:ind w:left="720" w:hanging="360"/>
      </w:pPr>
    </w:lvl>
    <w:lvl w:ilvl="1" w:tplc="4E9055A8">
      <w:start w:val="1"/>
      <w:numFmt w:val="lowerLetter"/>
      <w:lvlText w:val="%2."/>
      <w:lvlJc w:val="left"/>
      <w:pPr>
        <w:tabs>
          <w:tab w:val="num" w:pos="0"/>
        </w:tabs>
        <w:ind w:left="1440" w:hanging="360"/>
      </w:pPr>
    </w:lvl>
    <w:lvl w:ilvl="2" w:tplc="6FBE566A">
      <w:start w:val="1"/>
      <w:numFmt w:val="lowerRoman"/>
      <w:lvlText w:val="%3."/>
      <w:lvlJc w:val="right"/>
      <w:pPr>
        <w:tabs>
          <w:tab w:val="num" w:pos="0"/>
        </w:tabs>
        <w:ind w:left="2160" w:hanging="180"/>
      </w:pPr>
    </w:lvl>
    <w:lvl w:ilvl="3" w:tplc="79F64FBE">
      <w:start w:val="1"/>
      <w:numFmt w:val="decimal"/>
      <w:lvlText w:val="%4."/>
      <w:lvlJc w:val="left"/>
      <w:pPr>
        <w:tabs>
          <w:tab w:val="num" w:pos="0"/>
        </w:tabs>
        <w:ind w:left="2880" w:hanging="360"/>
      </w:pPr>
    </w:lvl>
    <w:lvl w:ilvl="4" w:tplc="A5AEAA88">
      <w:start w:val="1"/>
      <w:numFmt w:val="lowerLetter"/>
      <w:lvlText w:val="%5."/>
      <w:lvlJc w:val="left"/>
      <w:pPr>
        <w:tabs>
          <w:tab w:val="num" w:pos="0"/>
        </w:tabs>
        <w:ind w:left="3600" w:hanging="360"/>
      </w:pPr>
    </w:lvl>
    <w:lvl w:ilvl="5" w:tplc="B242010A">
      <w:start w:val="1"/>
      <w:numFmt w:val="lowerRoman"/>
      <w:lvlText w:val="%6."/>
      <w:lvlJc w:val="right"/>
      <w:pPr>
        <w:tabs>
          <w:tab w:val="num" w:pos="0"/>
        </w:tabs>
        <w:ind w:left="4320" w:hanging="180"/>
      </w:pPr>
    </w:lvl>
    <w:lvl w:ilvl="6" w:tplc="341469A2">
      <w:start w:val="1"/>
      <w:numFmt w:val="decimal"/>
      <w:lvlText w:val="%7."/>
      <w:lvlJc w:val="left"/>
      <w:pPr>
        <w:tabs>
          <w:tab w:val="num" w:pos="0"/>
        </w:tabs>
        <w:ind w:left="5040" w:hanging="360"/>
      </w:pPr>
    </w:lvl>
    <w:lvl w:ilvl="7" w:tplc="C9021040">
      <w:start w:val="1"/>
      <w:numFmt w:val="lowerLetter"/>
      <w:lvlText w:val="%8."/>
      <w:lvlJc w:val="left"/>
      <w:pPr>
        <w:tabs>
          <w:tab w:val="num" w:pos="0"/>
        </w:tabs>
        <w:ind w:left="5760" w:hanging="360"/>
      </w:pPr>
    </w:lvl>
    <w:lvl w:ilvl="8" w:tplc="CBD4010A">
      <w:start w:val="1"/>
      <w:numFmt w:val="lowerRoman"/>
      <w:lvlText w:val="%9."/>
      <w:lvlJc w:val="right"/>
      <w:pPr>
        <w:tabs>
          <w:tab w:val="num" w:pos="0"/>
        </w:tabs>
        <w:ind w:left="6480" w:hanging="180"/>
      </w:pPr>
    </w:lvl>
  </w:abstractNum>
  <w:abstractNum w:abstractNumId="60" w15:restartNumberingAfterBreak="0">
    <w:nsid w:val="63212732"/>
    <w:multiLevelType w:val="hybridMultilevel"/>
    <w:tmpl w:val="C39CACF6"/>
    <w:lvl w:ilvl="0" w:tplc="D4A68A22">
      <w:start w:val="1"/>
      <w:numFmt w:val="decimal"/>
      <w:lvlText w:val="%1."/>
      <w:lvlJc w:val="left"/>
      <w:pPr>
        <w:tabs>
          <w:tab w:val="num" w:pos="0"/>
        </w:tabs>
        <w:ind w:left="720" w:hanging="360"/>
      </w:pPr>
    </w:lvl>
    <w:lvl w:ilvl="1" w:tplc="D31A0A40">
      <w:start w:val="1"/>
      <w:numFmt w:val="lowerLetter"/>
      <w:lvlText w:val="%2."/>
      <w:lvlJc w:val="left"/>
      <w:pPr>
        <w:tabs>
          <w:tab w:val="num" w:pos="0"/>
        </w:tabs>
        <w:ind w:left="1440" w:hanging="360"/>
      </w:pPr>
    </w:lvl>
    <w:lvl w:ilvl="2" w:tplc="9452AB28">
      <w:start w:val="1"/>
      <w:numFmt w:val="lowerRoman"/>
      <w:lvlText w:val="%3."/>
      <w:lvlJc w:val="right"/>
      <w:pPr>
        <w:tabs>
          <w:tab w:val="num" w:pos="0"/>
        </w:tabs>
        <w:ind w:left="2160" w:hanging="180"/>
      </w:pPr>
    </w:lvl>
    <w:lvl w:ilvl="3" w:tplc="B3E83A3A">
      <w:start w:val="1"/>
      <w:numFmt w:val="decimal"/>
      <w:lvlText w:val="%4."/>
      <w:lvlJc w:val="left"/>
      <w:pPr>
        <w:tabs>
          <w:tab w:val="num" w:pos="0"/>
        </w:tabs>
        <w:ind w:left="2880" w:hanging="360"/>
      </w:pPr>
    </w:lvl>
    <w:lvl w:ilvl="4" w:tplc="4754D220">
      <w:start w:val="1"/>
      <w:numFmt w:val="lowerLetter"/>
      <w:lvlText w:val="%5."/>
      <w:lvlJc w:val="left"/>
      <w:pPr>
        <w:tabs>
          <w:tab w:val="num" w:pos="0"/>
        </w:tabs>
        <w:ind w:left="3600" w:hanging="360"/>
      </w:pPr>
    </w:lvl>
    <w:lvl w:ilvl="5" w:tplc="B090232C">
      <w:start w:val="1"/>
      <w:numFmt w:val="lowerRoman"/>
      <w:lvlText w:val="%6."/>
      <w:lvlJc w:val="right"/>
      <w:pPr>
        <w:tabs>
          <w:tab w:val="num" w:pos="0"/>
        </w:tabs>
        <w:ind w:left="4320" w:hanging="180"/>
      </w:pPr>
    </w:lvl>
    <w:lvl w:ilvl="6" w:tplc="A85AF05C">
      <w:start w:val="1"/>
      <w:numFmt w:val="decimal"/>
      <w:lvlText w:val="%7."/>
      <w:lvlJc w:val="left"/>
      <w:pPr>
        <w:tabs>
          <w:tab w:val="num" w:pos="0"/>
        </w:tabs>
        <w:ind w:left="5040" w:hanging="360"/>
      </w:pPr>
    </w:lvl>
    <w:lvl w:ilvl="7" w:tplc="AD563438">
      <w:start w:val="1"/>
      <w:numFmt w:val="lowerLetter"/>
      <w:lvlText w:val="%8."/>
      <w:lvlJc w:val="left"/>
      <w:pPr>
        <w:tabs>
          <w:tab w:val="num" w:pos="0"/>
        </w:tabs>
        <w:ind w:left="5760" w:hanging="360"/>
      </w:pPr>
    </w:lvl>
    <w:lvl w:ilvl="8" w:tplc="BDF4E9D6">
      <w:start w:val="1"/>
      <w:numFmt w:val="lowerRoman"/>
      <w:lvlText w:val="%9."/>
      <w:lvlJc w:val="right"/>
      <w:pPr>
        <w:tabs>
          <w:tab w:val="num" w:pos="0"/>
        </w:tabs>
        <w:ind w:left="6480" w:hanging="180"/>
      </w:pPr>
    </w:lvl>
  </w:abstractNum>
  <w:abstractNum w:abstractNumId="61" w15:restartNumberingAfterBreak="0">
    <w:nsid w:val="64236F1A"/>
    <w:multiLevelType w:val="hybridMultilevel"/>
    <w:tmpl w:val="3348BDAA"/>
    <w:lvl w:ilvl="0" w:tplc="D0FE2926">
      <w:start w:val="1"/>
      <w:numFmt w:val="decimal"/>
      <w:lvlText w:val="%1."/>
      <w:lvlJc w:val="left"/>
      <w:pPr>
        <w:tabs>
          <w:tab w:val="num" w:pos="0"/>
        </w:tabs>
        <w:ind w:left="720" w:hanging="360"/>
      </w:pPr>
    </w:lvl>
    <w:lvl w:ilvl="1" w:tplc="06203BA4">
      <w:start w:val="1"/>
      <w:numFmt w:val="lowerLetter"/>
      <w:lvlText w:val="%2."/>
      <w:lvlJc w:val="left"/>
      <w:pPr>
        <w:tabs>
          <w:tab w:val="num" w:pos="0"/>
        </w:tabs>
        <w:ind w:left="1440" w:hanging="360"/>
      </w:pPr>
    </w:lvl>
    <w:lvl w:ilvl="2" w:tplc="6158F404">
      <w:start w:val="1"/>
      <w:numFmt w:val="lowerRoman"/>
      <w:lvlText w:val="%3."/>
      <w:lvlJc w:val="right"/>
      <w:pPr>
        <w:tabs>
          <w:tab w:val="num" w:pos="0"/>
        </w:tabs>
        <w:ind w:left="2160" w:hanging="180"/>
      </w:pPr>
    </w:lvl>
    <w:lvl w:ilvl="3" w:tplc="CFB27F72">
      <w:start w:val="1"/>
      <w:numFmt w:val="decimal"/>
      <w:lvlText w:val="%4."/>
      <w:lvlJc w:val="left"/>
      <w:pPr>
        <w:tabs>
          <w:tab w:val="num" w:pos="0"/>
        </w:tabs>
        <w:ind w:left="2880" w:hanging="360"/>
      </w:pPr>
    </w:lvl>
    <w:lvl w:ilvl="4" w:tplc="AF7E0038">
      <w:start w:val="1"/>
      <w:numFmt w:val="lowerLetter"/>
      <w:lvlText w:val="%5."/>
      <w:lvlJc w:val="left"/>
      <w:pPr>
        <w:tabs>
          <w:tab w:val="num" w:pos="0"/>
        </w:tabs>
        <w:ind w:left="3600" w:hanging="360"/>
      </w:pPr>
    </w:lvl>
    <w:lvl w:ilvl="5" w:tplc="D14A7BAC">
      <w:start w:val="1"/>
      <w:numFmt w:val="lowerRoman"/>
      <w:lvlText w:val="%6."/>
      <w:lvlJc w:val="right"/>
      <w:pPr>
        <w:tabs>
          <w:tab w:val="num" w:pos="0"/>
        </w:tabs>
        <w:ind w:left="4320" w:hanging="180"/>
      </w:pPr>
    </w:lvl>
    <w:lvl w:ilvl="6" w:tplc="D3B45114">
      <w:start w:val="1"/>
      <w:numFmt w:val="decimal"/>
      <w:lvlText w:val="%7."/>
      <w:lvlJc w:val="left"/>
      <w:pPr>
        <w:tabs>
          <w:tab w:val="num" w:pos="0"/>
        </w:tabs>
        <w:ind w:left="5040" w:hanging="360"/>
      </w:pPr>
    </w:lvl>
    <w:lvl w:ilvl="7" w:tplc="C848EEA2">
      <w:start w:val="1"/>
      <w:numFmt w:val="lowerLetter"/>
      <w:lvlText w:val="%8."/>
      <w:lvlJc w:val="left"/>
      <w:pPr>
        <w:tabs>
          <w:tab w:val="num" w:pos="0"/>
        </w:tabs>
        <w:ind w:left="5760" w:hanging="360"/>
      </w:pPr>
    </w:lvl>
    <w:lvl w:ilvl="8" w:tplc="4B22A954">
      <w:start w:val="1"/>
      <w:numFmt w:val="lowerRoman"/>
      <w:lvlText w:val="%9."/>
      <w:lvlJc w:val="right"/>
      <w:pPr>
        <w:tabs>
          <w:tab w:val="num" w:pos="0"/>
        </w:tabs>
        <w:ind w:left="6480" w:hanging="180"/>
      </w:pPr>
    </w:lvl>
  </w:abstractNum>
  <w:abstractNum w:abstractNumId="62" w15:restartNumberingAfterBreak="0">
    <w:nsid w:val="644E5C17"/>
    <w:multiLevelType w:val="hybridMultilevel"/>
    <w:tmpl w:val="36B4E9C0"/>
    <w:lvl w:ilvl="0" w:tplc="E9F26F10">
      <w:start w:val="1"/>
      <w:numFmt w:val="decimal"/>
      <w:lvlText w:val="%1."/>
      <w:lvlJc w:val="left"/>
      <w:pPr>
        <w:tabs>
          <w:tab w:val="num" w:pos="0"/>
        </w:tabs>
        <w:ind w:left="4045" w:hanging="360"/>
      </w:pPr>
    </w:lvl>
    <w:lvl w:ilvl="1" w:tplc="3D96169C">
      <w:start w:val="1"/>
      <w:numFmt w:val="lowerLetter"/>
      <w:lvlText w:val="%2."/>
      <w:lvlJc w:val="left"/>
      <w:pPr>
        <w:tabs>
          <w:tab w:val="num" w:pos="0"/>
        </w:tabs>
        <w:ind w:left="4765" w:hanging="360"/>
      </w:pPr>
    </w:lvl>
    <w:lvl w:ilvl="2" w:tplc="B8A0743A">
      <w:start w:val="1"/>
      <w:numFmt w:val="lowerRoman"/>
      <w:lvlText w:val="%3."/>
      <w:lvlJc w:val="right"/>
      <w:pPr>
        <w:tabs>
          <w:tab w:val="num" w:pos="0"/>
        </w:tabs>
        <w:ind w:left="5485" w:hanging="180"/>
      </w:pPr>
    </w:lvl>
    <w:lvl w:ilvl="3" w:tplc="7208FA7C">
      <w:start w:val="1"/>
      <w:numFmt w:val="decimal"/>
      <w:lvlText w:val="%4."/>
      <w:lvlJc w:val="left"/>
      <w:pPr>
        <w:tabs>
          <w:tab w:val="num" w:pos="0"/>
        </w:tabs>
        <w:ind w:left="6205" w:hanging="360"/>
      </w:pPr>
    </w:lvl>
    <w:lvl w:ilvl="4" w:tplc="24F885B2">
      <w:start w:val="1"/>
      <w:numFmt w:val="lowerLetter"/>
      <w:lvlText w:val="%5."/>
      <w:lvlJc w:val="left"/>
      <w:pPr>
        <w:tabs>
          <w:tab w:val="num" w:pos="0"/>
        </w:tabs>
        <w:ind w:left="6925" w:hanging="360"/>
      </w:pPr>
    </w:lvl>
    <w:lvl w:ilvl="5" w:tplc="839C945A">
      <w:start w:val="1"/>
      <w:numFmt w:val="lowerRoman"/>
      <w:lvlText w:val="%6."/>
      <w:lvlJc w:val="right"/>
      <w:pPr>
        <w:tabs>
          <w:tab w:val="num" w:pos="0"/>
        </w:tabs>
        <w:ind w:left="7645" w:hanging="180"/>
      </w:pPr>
    </w:lvl>
    <w:lvl w:ilvl="6" w:tplc="C422D35A">
      <w:start w:val="1"/>
      <w:numFmt w:val="decimal"/>
      <w:lvlText w:val="%7."/>
      <w:lvlJc w:val="left"/>
      <w:pPr>
        <w:tabs>
          <w:tab w:val="num" w:pos="0"/>
        </w:tabs>
        <w:ind w:left="8365" w:hanging="360"/>
      </w:pPr>
    </w:lvl>
    <w:lvl w:ilvl="7" w:tplc="BCC8C3FC">
      <w:start w:val="1"/>
      <w:numFmt w:val="lowerLetter"/>
      <w:lvlText w:val="%8."/>
      <w:lvlJc w:val="left"/>
      <w:pPr>
        <w:tabs>
          <w:tab w:val="num" w:pos="0"/>
        </w:tabs>
        <w:ind w:left="9085" w:hanging="360"/>
      </w:pPr>
    </w:lvl>
    <w:lvl w:ilvl="8" w:tplc="422E2C32">
      <w:start w:val="1"/>
      <w:numFmt w:val="lowerRoman"/>
      <w:lvlText w:val="%9."/>
      <w:lvlJc w:val="right"/>
      <w:pPr>
        <w:tabs>
          <w:tab w:val="num" w:pos="0"/>
        </w:tabs>
        <w:ind w:left="9805" w:hanging="180"/>
      </w:pPr>
    </w:lvl>
  </w:abstractNum>
  <w:abstractNum w:abstractNumId="63" w15:restartNumberingAfterBreak="0">
    <w:nsid w:val="68C50ABB"/>
    <w:multiLevelType w:val="hybridMultilevel"/>
    <w:tmpl w:val="BB90FF9C"/>
    <w:lvl w:ilvl="0" w:tplc="A974693A">
      <w:start w:val="1"/>
      <w:numFmt w:val="decimal"/>
      <w:lvlText w:val="%1."/>
      <w:lvlJc w:val="left"/>
      <w:pPr>
        <w:tabs>
          <w:tab w:val="num" w:pos="0"/>
        </w:tabs>
        <w:ind w:left="720" w:hanging="360"/>
      </w:pPr>
    </w:lvl>
    <w:lvl w:ilvl="1" w:tplc="38BCFFAC">
      <w:start w:val="1"/>
      <w:numFmt w:val="lowerLetter"/>
      <w:lvlText w:val="%2."/>
      <w:lvlJc w:val="left"/>
      <w:pPr>
        <w:tabs>
          <w:tab w:val="num" w:pos="0"/>
        </w:tabs>
        <w:ind w:left="1440" w:hanging="360"/>
      </w:pPr>
    </w:lvl>
    <w:lvl w:ilvl="2" w:tplc="1A80E5BC">
      <w:start w:val="1"/>
      <w:numFmt w:val="lowerRoman"/>
      <w:lvlText w:val="%3."/>
      <w:lvlJc w:val="right"/>
      <w:pPr>
        <w:tabs>
          <w:tab w:val="num" w:pos="0"/>
        </w:tabs>
        <w:ind w:left="2160" w:hanging="180"/>
      </w:pPr>
    </w:lvl>
    <w:lvl w:ilvl="3" w:tplc="0B503E9E">
      <w:start w:val="1"/>
      <w:numFmt w:val="decimal"/>
      <w:lvlText w:val="%4."/>
      <w:lvlJc w:val="left"/>
      <w:pPr>
        <w:tabs>
          <w:tab w:val="num" w:pos="0"/>
        </w:tabs>
        <w:ind w:left="2880" w:hanging="360"/>
      </w:pPr>
    </w:lvl>
    <w:lvl w:ilvl="4" w:tplc="C2304B80">
      <w:start w:val="1"/>
      <w:numFmt w:val="lowerLetter"/>
      <w:lvlText w:val="%5."/>
      <w:lvlJc w:val="left"/>
      <w:pPr>
        <w:tabs>
          <w:tab w:val="num" w:pos="0"/>
        </w:tabs>
        <w:ind w:left="3600" w:hanging="360"/>
      </w:pPr>
    </w:lvl>
    <w:lvl w:ilvl="5" w:tplc="BEDC8680">
      <w:start w:val="1"/>
      <w:numFmt w:val="lowerRoman"/>
      <w:lvlText w:val="%6."/>
      <w:lvlJc w:val="right"/>
      <w:pPr>
        <w:tabs>
          <w:tab w:val="num" w:pos="0"/>
        </w:tabs>
        <w:ind w:left="4320" w:hanging="180"/>
      </w:pPr>
    </w:lvl>
    <w:lvl w:ilvl="6" w:tplc="69A8C72E">
      <w:start w:val="1"/>
      <w:numFmt w:val="decimal"/>
      <w:lvlText w:val="%7."/>
      <w:lvlJc w:val="left"/>
      <w:pPr>
        <w:tabs>
          <w:tab w:val="num" w:pos="0"/>
        </w:tabs>
        <w:ind w:left="5040" w:hanging="360"/>
      </w:pPr>
    </w:lvl>
    <w:lvl w:ilvl="7" w:tplc="DD00EA74">
      <w:start w:val="1"/>
      <w:numFmt w:val="lowerLetter"/>
      <w:lvlText w:val="%8."/>
      <w:lvlJc w:val="left"/>
      <w:pPr>
        <w:tabs>
          <w:tab w:val="num" w:pos="0"/>
        </w:tabs>
        <w:ind w:left="5760" w:hanging="360"/>
      </w:pPr>
    </w:lvl>
    <w:lvl w:ilvl="8" w:tplc="FD1243D0">
      <w:start w:val="1"/>
      <w:numFmt w:val="lowerRoman"/>
      <w:lvlText w:val="%9."/>
      <w:lvlJc w:val="right"/>
      <w:pPr>
        <w:tabs>
          <w:tab w:val="num" w:pos="0"/>
        </w:tabs>
        <w:ind w:left="6480" w:hanging="180"/>
      </w:pPr>
    </w:lvl>
  </w:abstractNum>
  <w:abstractNum w:abstractNumId="64" w15:restartNumberingAfterBreak="0">
    <w:nsid w:val="693552AA"/>
    <w:multiLevelType w:val="hybridMultilevel"/>
    <w:tmpl w:val="101C8588"/>
    <w:lvl w:ilvl="0" w:tplc="329020DA">
      <w:start w:val="1"/>
      <w:numFmt w:val="decimal"/>
      <w:lvlText w:val="%1."/>
      <w:lvlJc w:val="left"/>
      <w:pPr>
        <w:tabs>
          <w:tab w:val="num" w:pos="0"/>
        </w:tabs>
        <w:ind w:left="720" w:hanging="360"/>
      </w:pPr>
    </w:lvl>
    <w:lvl w:ilvl="1" w:tplc="A9D84578">
      <w:start w:val="1"/>
      <w:numFmt w:val="lowerLetter"/>
      <w:lvlText w:val="%2."/>
      <w:lvlJc w:val="left"/>
      <w:pPr>
        <w:tabs>
          <w:tab w:val="num" w:pos="0"/>
        </w:tabs>
        <w:ind w:left="1440" w:hanging="360"/>
      </w:pPr>
    </w:lvl>
    <w:lvl w:ilvl="2" w:tplc="5EAE90F8">
      <w:start w:val="1"/>
      <w:numFmt w:val="lowerRoman"/>
      <w:lvlText w:val="%3."/>
      <w:lvlJc w:val="right"/>
      <w:pPr>
        <w:tabs>
          <w:tab w:val="num" w:pos="0"/>
        </w:tabs>
        <w:ind w:left="2160" w:hanging="180"/>
      </w:pPr>
    </w:lvl>
    <w:lvl w:ilvl="3" w:tplc="209EBCBA">
      <w:start w:val="1"/>
      <w:numFmt w:val="decimal"/>
      <w:lvlText w:val="%4."/>
      <w:lvlJc w:val="left"/>
      <w:pPr>
        <w:tabs>
          <w:tab w:val="num" w:pos="0"/>
        </w:tabs>
        <w:ind w:left="2880" w:hanging="360"/>
      </w:pPr>
    </w:lvl>
    <w:lvl w:ilvl="4" w:tplc="B832C5DA">
      <w:start w:val="1"/>
      <w:numFmt w:val="lowerLetter"/>
      <w:lvlText w:val="%5."/>
      <w:lvlJc w:val="left"/>
      <w:pPr>
        <w:tabs>
          <w:tab w:val="num" w:pos="0"/>
        </w:tabs>
        <w:ind w:left="3600" w:hanging="360"/>
      </w:pPr>
    </w:lvl>
    <w:lvl w:ilvl="5" w:tplc="E8C2FAF0">
      <w:start w:val="1"/>
      <w:numFmt w:val="lowerRoman"/>
      <w:lvlText w:val="%6."/>
      <w:lvlJc w:val="right"/>
      <w:pPr>
        <w:tabs>
          <w:tab w:val="num" w:pos="0"/>
        </w:tabs>
        <w:ind w:left="4320" w:hanging="180"/>
      </w:pPr>
    </w:lvl>
    <w:lvl w:ilvl="6" w:tplc="652E21CC">
      <w:start w:val="1"/>
      <w:numFmt w:val="decimal"/>
      <w:lvlText w:val="%7."/>
      <w:lvlJc w:val="left"/>
      <w:pPr>
        <w:tabs>
          <w:tab w:val="num" w:pos="0"/>
        </w:tabs>
        <w:ind w:left="5040" w:hanging="360"/>
      </w:pPr>
    </w:lvl>
    <w:lvl w:ilvl="7" w:tplc="D83AC914">
      <w:start w:val="1"/>
      <w:numFmt w:val="lowerLetter"/>
      <w:lvlText w:val="%8."/>
      <w:lvlJc w:val="left"/>
      <w:pPr>
        <w:tabs>
          <w:tab w:val="num" w:pos="0"/>
        </w:tabs>
        <w:ind w:left="5760" w:hanging="360"/>
      </w:pPr>
    </w:lvl>
    <w:lvl w:ilvl="8" w:tplc="9CC6DF1C">
      <w:start w:val="1"/>
      <w:numFmt w:val="lowerRoman"/>
      <w:lvlText w:val="%9."/>
      <w:lvlJc w:val="right"/>
      <w:pPr>
        <w:tabs>
          <w:tab w:val="num" w:pos="0"/>
        </w:tabs>
        <w:ind w:left="6480" w:hanging="180"/>
      </w:pPr>
    </w:lvl>
  </w:abstractNum>
  <w:abstractNum w:abstractNumId="65" w15:restartNumberingAfterBreak="0">
    <w:nsid w:val="69827185"/>
    <w:multiLevelType w:val="hybridMultilevel"/>
    <w:tmpl w:val="9E3ABB24"/>
    <w:lvl w:ilvl="0" w:tplc="0556FC28">
      <w:start w:val="1"/>
      <w:numFmt w:val="decimal"/>
      <w:lvlText w:val="%1."/>
      <w:lvlJc w:val="left"/>
      <w:pPr>
        <w:tabs>
          <w:tab w:val="num" w:pos="0"/>
        </w:tabs>
        <w:ind w:left="720" w:hanging="360"/>
      </w:pPr>
    </w:lvl>
    <w:lvl w:ilvl="1" w:tplc="46A6B0CE">
      <w:start w:val="1"/>
      <w:numFmt w:val="lowerLetter"/>
      <w:lvlText w:val="%2."/>
      <w:lvlJc w:val="left"/>
      <w:pPr>
        <w:tabs>
          <w:tab w:val="num" w:pos="0"/>
        </w:tabs>
        <w:ind w:left="1440" w:hanging="360"/>
      </w:pPr>
    </w:lvl>
    <w:lvl w:ilvl="2" w:tplc="4692C2E4">
      <w:start w:val="1"/>
      <w:numFmt w:val="lowerRoman"/>
      <w:lvlText w:val="%3."/>
      <w:lvlJc w:val="right"/>
      <w:pPr>
        <w:tabs>
          <w:tab w:val="num" w:pos="0"/>
        </w:tabs>
        <w:ind w:left="2160" w:hanging="180"/>
      </w:pPr>
    </w:lvl>
    <w:lvl w:ilvl="3" w:tplc="3BC08AE6">
      <w:start w:val="1"/>
      <w:numFmt w:val="decimal"/>
      <w:lvlText w:val="%4."/>
      <w:lvlJc w:val="left"/>
      <w:pPr>
        <w:tabs>
          <w:tab w:val="num" w:pos="0"/>
        </w:tabs>
        <w:ind w:left="2880" w:hanging="360"/>
      </w:pPr>
    </w:lvl>
    <w:lvl w:ilvl="4" w:tplc="4342BC38">
      <w:start w:val="1"/>
      <w:numFmt w:val="lowerLetter"/>
      <w:lvlText w:val="%5."/>
      <w:lvlJc w:val="left"/>
      <w:pPr>
        <w:tabs>
          <w:tab w:val="num" w:pos="0"/>
        </w:tabs>
        <w:ind w:left="3600" w:hanging="360"/>
      </w:pPr>
    </w:lvl>
    <w:lvl w:ilvl="5" w:tplc="32C2C110">
      <w:start w:val="1"/>
      <w:numFmt w:val="lowerRoman"/>
      <w:lvlText w:val="%6."/>
      <w:lvlJc w:val="right"/>
      <w:pPr>
        <w:tabs>
          <w:tab w:val="num" w:pos="0"/>
        </w:tabs>
        <w:ind w:left="4320" w:hanging="180"/>
      </w:pPr>
    </w:lvl>
    <w:lvl w:ilvl="6" w:tplc="3B547B4C">
      <w:start w:val="1"/>
      <w:numFmt w:val="decimal"/>
      <w:lvlText w:val="%7."/>
      <w:lvlJc w:val="left"/>
      <w:pPr>
        <w:tabs>
          <w:tab w:val="num" w:pos="0"/>
        </w:tabs>
        <w:ind w:left="5040" w:hanging="360"/>
      </w:pPr>
    </w:lvl>
    <w:lvl w:ilvl="7" w:tplc="A9CA3432">
      <w:start w:val="1"/>
      <w:numFmt w:val="lowerLetter"/>
      <w:lvlText w:val="%8."/>
      <w:lvlJc w:val="left"/>
      <w:pPr>
        <w:tabs>
          <w:tab w:val="num" w:pos="0"/>
        </w:tabs>
        <w:ind w:left="5760" w:hanging="360"/>
      </w:pPr>
    </w:lvl>
    <w:lvl w:ilvl="8" w:tplc="B5F28078">
      <w:start w:val="1"/>
      <w:numFmt w:val="lowerRoman"/>
      <w:lvlText w:val="%9."/>
      <w:lvlJc w:val="right"/>
      <w:pPr>
        <w:tabs>
          <w:tab w:val="num" w:pos="0"/>
        </w:tabs>
        <w:ind w:left="6480" w:hanging="180"/>
      </w:pPr>
    </w:lvl>
  </w:abstractNum>
  <w:abstractNum w:abstractNumId="66" w15:restartNumberingAfterBreak="0">
    <w:nsid w:val="6C456638"/>
    <w:multiLevelType w:val="hybridMultilevel"/>
    <w:tmpl w:val="6DCC87A6"/>
    <w:lvl w:ilvl="0" w:tplc="71CCFE0C">
      <w:start w:val="1"/>
      <w:numFmt w:val="decimal"/>
      <w:lvlText w:val="%1."/>
      <w:lvlJc w:val="left"/>
      <w:pPr>
        <w:tabs>
          <w:tab w:val="num" w:pos="0"/>
        </w:tabs>
        <w:ind w:left="720" w:hanging="360"/>
      </w:pPr>
    </w:lvl>
    <w:lvl w:ilvl="1" w:tplc="DE3A1A6C">
      <w:start w:val="1"/>
      <w:numFmt w:val="lowerLetter"/>
      <w:lvlText w:val="%2."/>
      <w:lvlJc w:val="left"/>
      <w:pPr>
        <w:tabs>
          <w:tab w:val="num" w:pos="0"/>
        </w:tabs>
        <w:ind w:left="1440" w:hanging="360"/>
      </w:pPr>
    </w:lvl>
    <w:lvl w:ilvl="2" w:tplc="05C82BB6">
      <w:start w:val="1"/>
      <w:numFmt w:val="lowerRoman"/>
      <w:lvlText w:val="%3."/>
      <w:lvlJc w:val="right"/>
      <w:pPr>
        <w:tabs>
          <w:tab w:val="num" w:pos="0"/>
        </w:tabs>
        <w:ind w:left="2160" w:hanging="180"/>
      </w:pPr>
    </w:lvl>
    <w:lvl w:ilvl="3" w:tplc="6E36B0BE">
      <w:start w:val="1"/>
      <w:numFmt w:val="decimal"/>
      <w:lvlText w:val="%4."/>
      <w:lvlJc w:val="left"/>
      <w:pPr>
        <w:tabs>
          <w:tab w:val="num" w:pos="0"/>
        </w:tabs>
        <w:ind w:left="2880" w:hanging="360"/>
      </w:pPr>
    </w:lvl>
    <w:lvl w:ilvl="4" w:tplc="FF28591E">
      <w:start w:val="1"/>
      <w:numFmt w:val="lowerLetter"/>
      <w:lvlText w:val="%5."/>
      <w:lvlJc w:val="left"/>
      <w:pPr>
        <w:tabs>
          <w:tab w:val="num" w:pos="0"/>
        </w:tabs>
        <w:ind w:left="3600" w:hanging="360"/>
      </w:pPr>
    </w:lvl>
    <w:lvl w:ilvl="5" w:tplc="4E520A0C">
      <w:start w:val="1"/>
      <w:numFmt w:val="lowerRoman"/>
      <w:lvlText w:val="%6."/>
      <w:lvlJc w:val="right"/>
      <w:pPr>
        <w:tabs>
          <w:tab w:val="num" w:pos="0"/>
        </w:tabs>
        <w:ind w:left="4320" w:hanging="180"/>
      </w:pPr>
    </w:lvl>
    <w:lvl w:ilvl="6" w:tplc="C01CA4A2">
      <w:start w:val="1"/>
      <w:numFmt w:val="decimal"/>
      <w:lvlText w:val="%7."/>
      <w:lvlJc w:val="left"/>
      <w:pPr>
        <w:tabs>
          <w:tab w:val="num" w:pos="0"/>
        </w:tabs>
        <w:ind w:left="5040" w:hanging="360"/>
      </w:pPr>
    </w:lvl>
    <w:lvl w:ilvl="7" w:tplc="5F0A65D4">
      <w:start w:val="1"/>
      <w:numFmt w:val="lowerLetter"/>
      <w:lvlText w:val="%8."/>
      <w:lvlJc w:val="left"/>
      <w:pPr>
        <w:tabs>
          <w:tab w:val="num" w:pos="0"/>
        </w:tabs>
        <w:ind w:left="5760" w:hanging="360"/>
      </w:pPr>
    </w:lvl>
    <w:lvl w:ilvl="8" w:tplc="D4682712">
      <w:start w:val="1"/>
      <w:numFmt w:val="lowerRoman"/>
      <w:lvlText w:val="%9."/>
      <w:lvlJc w:val="right"/>
      <w:pPr>
        <w:tabs>
          <w:tab w:val="num" w:pos="0"/>
        </w:tabs>
        <w:ind w:left="6480" w:hanging="180"/>
      </w:pPr>
    </w:lvl>
  </w:abstractNum>
  <w:abstractNum w:abstractNumId="67" w15:restartNumberingAfterBreak="0">
    <w:nsid w:val="6D093EE6"/>
    <w:multiLevelType w:val="hybridMultilevel"/>
    <w:tmpl w:val="857696A0"/>
    <w:lvl w:ilvl="0" w:tplc="1256EDE2">
      <w:start w:val="1"/>
      <w:numFmt w:val="decimal"/>
      <w:lvlText w:val="%1."/>
      <w:lvlJc w:val="left"/>
      <w:pPr>
        <w:tabs>
          <w:tab w:val="num" w:pos="0"/>
        </w:tabs>
        <w:ind w:left="720" w:hanging="360"/>
      </w:pPr>
    </w:lvl>
    <w:lvl w:ilvl="1" w:tplc="B5E816C6">
      <w:start w:val="1"/>
      <w:numFmt w:val="lowerLetter"/>
      <w:lvlText w:val="%2."/>
      <w:lvlJc w:val="left"/>
      <w:pPr>
        <w:tabs>
          <w:tab w:val="num" w:pos="0"/>
        </w:tabs>
        <w:ind w:left="1440" w:hanging="360"/>
      </w:pPr>
    </w:lvl>
    <w:lvl w:ilvl="2" w:tplc="0D62E3B2">
      <w:start w:val="1"/>
      <w:numFmt w:val="lowerRoman"/>
      <w:lvlText w:val="%3."/>
      <w:lvlJc w:val="right"/>
      <w:pPr>
        <w:tabs>
          <w:tab w:val="num" w:pos="0"/>
        </w:tabs>
        <w:ind w:left="2160" w:hanging="180"/>
      </w:pPr>
    </w:lvl>
    <w:lvl w:ilvl="3" w:tplc="BC30F75C">
      <w:start w:val="1"/>
      <w:numFmt w:val="decimal"/>
      <w:lvlText w:val="%4."/>
      <w:lvlJc w:val="left"/>
      <w:pPr>
        <w:tabs>
          <w:tab w:val="num" w:pos="0"/>
        </w:tabs>
        <w:ind w:left="2880" w:hanging="360"/>
      </w:pPr>
    </w:lvl>
    <w:lvl w:ilvl="4" w:tplc="23DE4EBA">
      <w:start w:val="1"/>
      <w:numFmt w:val="lowerLetter"/>
      <w:lvlText w:val="%5."/>
      <w:lvlJc w:val="left"/>
      <w:pPr>
        <w:tabs>
          <w:tab w:val="num" w:pos="0"/>
        </w:tabs>
        <w:ind w:left="3600" w:hanging="360"/>
      </w:pPr>
    </w:lvl>
    <w:lvl w:ilvl="5" w:tplc="A66892B2">
      <w:start w:val="1"/>
      <w:numFmt w:val="lowerRoman"/>
      <w:lvlText w:val="%6."/>
      <w:lvlJc w:val="right"/>
      <w:pPr>
        <w:tabs>
          <w:tab w:val="num" w:pos="0"/>
        </w:tabs>
        <w:ind w:left="4320" w:hanging="180"/>
      </w:pPr>
    </w:lvl>
    <w:lvl w:ilvl="6" w:tplc="5EDCA118">
      <w:start w:val="1"/>
      <w:numFmt w:val="decimal"/>
      <w:lvlText w:val="%7."/>
      <w:lvlJc w:val="left"/>
      <w:pPr>
        <w:tabs>
          <w:tab w:val="num" w:pos="0"/>
        </w:tabs>
        <w:ind w:left="5040" w:hanging="360"/>
      </w:pPr>
    </w:lvl>
    <w:lvl w:ilvl="7" w:tplc="8A9CF2CE">
      <w:start w:val="1"/>
      <w:numFmt w:val="lowerLetter"/>
      <w:lvlText w:val="%8."/>
      <w:lvlJc w:val="left"/>
      <w:pPr>
        <w:tabs>
          <w:tab w:val="num" w:pos="0"/>
        </w:tabs>
        <w:ind w:left="5760" w:hanging="360"/>
      </w:pPr>
    </w:lvl>
    <w:lvl w:ilvl="8" w:tplc="7A4A09FC">
      <w:start w:val="1"/>
      <w:numFmt w:val="lowerRoman"/>
      <w:lvlText w:val="%9."/>
      <w:lvlJc w:val="right"/>
      <w:pPr>
        <w:tabs>
          <w:tab w:val="num" w:pos="0"/>
        </w:tabs>
        <w:ind w:left="6480" w:hanging="180"/>
      </w:pPr>
    </w:lvl>
  </w:abstractNum>
  <w:abstractNum w:abstractNumId="68" w15:restartNumberingAfterBreak="0">
    <w:nsid w:val="6D25798B"/>
    <w:multiLevelType w:val="hybridMultilevel"/>
    <w:tmpl w:val="28C6B27A"/>
    <w:lvl w:ilvl="0" w:tplc="5F90847A">
      <w:start w:val="1"/>
      <w:numFmt w:val="decimal"/>
      <w:lvlText w:val="%1."/>
      <w:lvlJc w:val="left"/>
      <w:pPr>
        <w:tabs>
          <w:tab w:val="num" w:pos="0"/>
        </w:tabs>
        <w:ind w:left="720" w:hanging="360"/>
      </w:pPr>
    </w:lvl>
    <w:lvl w:ilvl="1" w:tplc="DFAC7992">
      <w:start w:val="1"/>
      <w:numFmt w:val="lowerLetter"/>
      <w:lvlText w:val="%2."/>
      <w:lvlJc w:val="left"/>
      <w:pPr>
        <w:tabs>
          <w:tab w:val="num" w:pos="0"/>
        </w:tabs>
        <w:ind w:left="1440" w:hanging="360"/>
      </w:pPr>
    </w:lvl>
    <w:lvl w:ilvl="2" w:tplc="797896EA">
      <w:start w:val="1"/>
      <w:numFmt w:val="lowerRoman"/>
      <w:lvlText w:val="%3."/>
      <w:lvlJc w:val="right"/>
      <w:pPr>
        <w:tabs>
          <w:tab w:val="num" w:pos="0"/>
        </w:tabs>
        <w:ind w:left="2160" w:hanging="180"/>
      </w:pPr>
    </w:lvl>
    <w:lvl w:ilvl="3" w:tplc="129677D4">
      <w:start w:val="1"/>
      <w:numFmt w:val="decimal"/>
      <w:lvlText w:val="%4."/>
      <w:lvlJc w:val="left"/>
      <w:pPr>
        <w:tabs>
          <w:tab w:val="num" w:pos="0"/>
        </w:tabs>
        <w:ind w:left="2880" w:hanging="360"/>
      </w:pPr>
    </w:lvl>
    <w:lvl w:ilvl="4" w:tplc="72B4D4D6">
      <w:start w:val="1"/>
      <w:numFmt w:val="lowerLetter"/>
      <w:lvlText w:val="%5."/>
      <w:lvlJc w:val="left"/>
      <w:pPr>
        <w:tabs>
          <w:tab w:val="num" w:pos="0"/>
        </w:tabs>
        <w:ind w:left="3600" w:hanging="360"/>
      </w:pPr>
    </w:lvl>
    <w:lvl w:ilvl="5" w:tplc="A6AE0CFE">
      <w:start w:val="1"/>
      <w:numFmt w:val="lowerRoman"/>
      <w:lvlText w:val="%6."/>
      <w:lvlJc w:val="right"/>
      <w:pPr>
        <w:tabs>
          <w:tab w:val="num" w:pos="0"/>
        </w:tabs>
        <w:ind w:left="4320" w:hanging="180"/>
      </w:pPr>
    </w:lvl>
    <w:lvl w:ilvl="6" w:tplc="CDF259D4">
      <w:start w:val="1"/>
      <w:numFmt w:val="decimal"/>
      <w:lvlText w:val="%7."/>
      <w:lvlJc w:val="left"/>
      <w:pPr>
        <w:tabs>
          <w:tab w:val="num" w:pos="0"/>
        </w:tabs>
        <w:ind w:left="5040" w:hanging="360"/>
      </w:pPr>
    </w:lvl>
    <w:lvl w:ilvl="7" w:tplc="9702ADF8">
      <w:start w:val="1"/>
      <w:numFmt w:val="lowerLetter"/>
      <w:lvlText w:val="%8."/>
      <w:lvlJc w:val="left"/>
      <w:pPr>
        <w:tabs>
          <w:tab w:val="num" w:pos="0"/>
        </w:tabs>
        <w:ind w:left="5760" w:hanging="360"/>
      </w:pPr>
    </w:lvl>
    <w:lvl w:ilvl="8" w:tplc="A2F29524">
      <w:start w:val="1"/>
      <w:numFmt w:val="lowerRoman"/>
      <w:lvlText w:val="%9."/>
      <w:lvlJc w:val="right"/>
      <w:pPr>
        <w:tabs>
          <w:tab w:val="num" w:pos="0"/>
        </w:tabs>
        <w:ind w:left="6480" w:hanging="180"/>
      </w:pPr>
    </w:lvl>
  </w:abstractNum>
  <w:abstractNum w:abstractNumId="69" w15:restartNumberingAfterBreak="0">
    <w:nsid w:val="6D85571F"/>
    <w:multiLevelType w:val="hybridMultilevel"/>
    <w:tmpl w:val="3508CCBE"/>
    <w:lvl w:ilvl="0" w:tplc="1618F52E">
      <w:start w:val="1"/>
      <w:numFmt w:val="decimal"/>
      <w:lvlText w:val="%1."/>
      <w:lvlJc w:val="left"/>
      <w:pPr>
        <w:tabs>
          <w:tab w:val="num" w:pos="0"/>
        </w:tabs>
        <w:ind w:left="720" w:hanging="360"/>
      </w:pPr>
      <w:rPr>
        <w:rFonts w:cs="Times New Roman"/>
        <w:i/>
      </w:rPr>
    </w:lvl>
    <w:lvl w:ilvl="1" w:tplc="930261DC">
      <w:start w:val="1"/>
      <w:numFmt w:val="lowerLetter"/>
      <w:lvlText w:val="%2."/>
      <w:lvlJc w:val="left"/>
      <w:pPr>
        <w:tabs>
          <w:tab w:val="num" w:pos="0"/>
        </w:tabs>
        <w:ind w:left="1440" w:hanging="360"/>
      </w:pPr>
      <w:rPr>
        <w:rFonts w:cs="Times New Roman"/>
      </w:rPr>
    </w:lvl>
    <w:lvl w:ilvl="2" w:tplc="9D1241CE">
      <w:start w:val="1"/>
      <w:numFmt w:val="lowerRoman"/>
      <w:lvlText w:val="%3."/>
      <w:lvlJc w:val="right"/>
      <w:pPr>
        <w:tabs>
          <w:tab w:val="num" w:pos="0"/>
        </w:tabs>
        <w:ind w:left="2160" w:hanging="180"/>
      </w:pPr>
      <w:rPr>
        <w:rFonts w:cs="Times New Roman"/>
      </w:rPr>
    </w:lvl>
    <w:lvl w:ilvl="3" w:tplc="D51C0D10">
      <w:start w:val="1"/>
      <w:numFmt w:val="decimal"/>
      <w:lvlText w:val="%4."/>
      <w:lvlJc w:val="left"/>
      <w:pPr>
        <w:tabs>
          <w:tab w:val="num" w:pos="0"/>
        </w:tabs>
        <w:ind w:left="2880" w:hanging="360"/>
      </w:pPr>
      <w:rPr>
        <w:rFonts w:cs="Times New Roman"/>
      </w:rPr>
    </w:lvl>
    <w:lvl w:ilvl="4" w:tplc="90E64E5E">
      <w:start w:val="1"/>
      <w:numFmt w:val="lowerLetter"/>
      <w:lvlText w:val="%5."/>
      <w:lvlJc w:val="left"/>
      <w:pPr>
        <w:tabs>
          <w:tab w:val="num" w:pos="0"/>
        </w:tabs>
        <w:ind w:left="3600" w:hanging="360"/>
      </w:pPr>
      <w:rPr>
        <w:rFonts w:cs="Times New Roman"/>
      </w:rPr>
    </w:lvl>
    <w:lvl w:ilvl="5" w:tplc="C714F57C">
      <w:start w:val="1"/>
      <w:numFmt w:val="lowerRoman"/>
      <w:lvlText w:val="%6."/>
      <w:lvlJc w:val="right"/>
      <w:pPr>
        <w:tabs>
          <w:tab w:val="num" w:pos="0"/>
        </w:tabs>
        <w:ind w:left="4320" w:hanging="180"/>
      </w:pPr>
      <w:rPr>
        <w:rFonts w:cs="Times New Roman"/>
      </w:rPr>
    </w:lvl>
    <w:lvl w:ilvl="6" w:tplc="2CE83304">
      <w:start w:val="1"/>
      <w:numFmt w:val="decimal"/>
      <w:lvlText w:val="%7."/>
      <w:lvlJc w:val="left"/>
      <w:pPr>
        <w:tabs>
          <w:tab w:val="num" w:pos="0"/>
        </w:tabs>
        <w:ind w:left="5040" w:hanging="360"/>
      </w:pPr>
      <w:rPr>
        <w:rFonts w:cs="Times New Roman"/>
      </w:rPr>
    </w:lvl>
    <w:lvl w:ilvl="7" w:tplc="B072B966">
      <w:start w:val="1"/>
      <w:numFmt w:val="lowerLetter"/>
      <w:lvlText w:val="%8."/>
      <w:lvlJc w:val="left"/>
      <w:pPr>
        <w:tabs>
          <w:tab w:val="num" w:pos="0"/>
        </w:tabs>
        <w:ind w:left="5760" w:hanging="360"/>
      </w:pPr>
      <w:rPr>
        <w:rFonts w:cs="Times New Roman"/>
      </w:rPr>
    </w:lvl>
    <w:lvl w:ilvl="8" w:tplc="2F321E24">
      <w:start w:val="1"/>
      <w:numFmt w:val="lowerRoman"/>
      <w:lvlText w:val="%9."/>
      <w:lvlJc w:val="right"/>
      <w:pPr>
        <w:tabs>
          <w:tab w:val="num" w:pos="0"/>
        </w:tabs>
        <w:ind w:left="6480" w:hanging="180"/>
      </w:pPr>
      <w:rPr>
        <w:rFonts w:cs="Times New Roman"/>
      </w:rPr>
    </w:lvl>
  </w:abstractNum>
  <w:abstractNum w:abstractNumId="70" w15:restartNumberingAfterBreak="0">
    <w:nsid w:val="70996681"/>
    <w:multiLevelType w:val="hybridMultilevel"/>
    <w:tmpl w:val="3EC22E0C"/>
    <w:lvl w:ilvl="0" w:tplc="FAB0BB4A">
      <w:start w:val="1"/>
      <w:numFmt w:val="decimal"/>
      <w:lvlText w:val="%1."/>
      <w:lvlJc w:val="left"/>
      <w:pPr>
        <w:tabs>
          <w:tab w:val="num" w:pos="0"/>
        </w:tabs>
        <w:ind w:left="720" w:hanging="360"/>
      </w:pPr>
    </w:lvl>
    <w:lvl w:ilvl="1" w:tplc="9A2CF2F0">
      <w:start w:val="1"/>
      <w:numFmt w:val="lowerLetter"/>
      <w:lvlText w:val="%2."/>
      <w:lvlJc w:val="left"/>
      <w:pPr>
        <w:tabs>
          <w:tab w:val="num" w:pos="0"/>
        </w:tabs>
        <w:ind w:left="1440" w:hanging="360"/>
      </w:pPr>
    </w:lvl>
    <w:lvl w:ilvl="2" w:tplc="8056DC2C">
      <w:start w:val="1"/>
      <w:numFmt w:val="lowerRoman"/>
      <w:lvlText w:val="%3."/>
      <w:lvlJc w:val="right"/>
      <w:pPr>
        <w:tabs>
          <w:tab w:val="num" w:pos="0"/>
        </w:tabs>
        <w:ind w:left="2160" w:hanging="180"/>
      </w:pPr>
    </w:lvl>
    <w:lvl w:ilvl="3" w:tplc="36E2D03C">
      <w:start w:val="1"/>
      <w:numFmt w:val="decimal"/>
      <w:lvlText w:val="%4."/>
      <w:lvlJc w:val="left"/>
      <w:pPr>
        <w:tabs>
          <w:tab w:val="num" w:pos="0"/>
        </w:tabs>
        <w:ind w:left="2880" w:hanging="360"/>
      </w:pPr>
    </w:lvl>
    <w:lvl w:ilvl="4" w:tplc="24CCEC16">
      <w:start w:val="1"/>
      <w:numFmt w:val="lowerLetter"/>
      <w:lvlText w:val="%5."/>
      <w:lvlJc w:val="left"/>
      <w:pPr>
        <w:tabs>
          <w:tab w:val="num" w:pos="0"/>
        </w:tabs>
        <w:ind w:left="3600" w:hanging="360"/>
      </w:pPr>
    </w:lvl>
    <w:lvl w:ilvl="5" w:tplc="CCD6D17C">
      <w:start w:val="1"/>
      <w:numFmt w:val="lowerRoman"/>
      <w:lvlText w:val="%6."/>
      <w:lvlJc w:val="right"/>
      <w:pPr>
        <w:tabs>
          <w:tab w:val="num" w:pos="0"/>
        </w:tabs>
        <w:ind w:left="4320" w:hanging="180"/>
      </w:pPr>
    </w:lvl>
    <w:lvl w:ilvl="6" w:tplc="208E4F3C">
      <w:start w:val="1"/>
      <w:numFmt w:val="decimal"/>
      <w:lvlText w:val="%7."/>
      <w:lvlJc w:val="left"/>
      <w:pPr>
        <w:tabs>
          <w:tab w:val="num" w:pos="0"/>
        </w:tabs>
        <w:ind w:left="5040" w:hanging="360"/>
      </w:pPr>
    </w:lvl>
    <w:lvl w:ilvl="7" w:tplc="2D9E639A">
      <w:start w:val="1"/>
      <w:numFmt w:val="lowerLetter"/>
      <w:lvlText w:val="%8."/>
      <w:lvlJc w:val="left"/>
      <w:pPr>
        <w:tabs>
          <w:tab w:val="num" w:pos="0"/>
        </w:tabs>
        <w:ind w:left="5760" w:hanging="360"/>
      </w:pPr>
    </w:lvl>
    <w:lvl w:ilvl="8" w:tplc="5FA0F200">
      <w:start w:val="1"/>
      <w:numFmt w:val="lowerRoman"/>
      <w:lvlText w:val="%9."/>
      <w:lvlJc w:val="right"/>
      <w:pPr>
        <w:tabs>
          <w:tab w:val="num" w:pos="0"/>
        </w:tabs>
        <w:ind w:left="6480" w:hanging="180"/>
      </w:pPr>
    </w:lvl>
  </w:abstractNum>
  <w:abstractNum w:abstractNumId="71" w15:restartNumberingAfterBreak="0">
    <w:nsid w:val="71A1777D"/>
    <w:multiLevelType w:val="hybridMultilevel"/>
    <w:tmpl w:val="A8B6F698"/>
    <w:lvl w:ilvl="0" w:tplc="EACC555A">
      <w:start w:val="1"/>
      <w:numFmt w:val="decimal"/>
      <w:lvlText w:val="%1."/>
      <w:lvlJc w:val="left"/>
      <w:pPr>
        <w:tabs>
          <w:tab w:val="num" w:pos="0"/>
        </w:tabs>
        <w:ind w:left="720" w:hanging="360"/>
      </w:pPr>
    </w:lvl>
    <w:lvl w:ilvl="1" w:tplc="F030E8B6">
      <w:start w:val="1"/>
      <w:numFmt w:val="lowerLetter"/>
      <w:lvlText w:val="%2."/>
      <w:lvlJc w:val="left"/>
      <w:pPr>
        <w:tabs>
          <w:tab w:val="num" w:pos="0"/>
        </w:tabs>
        <w:ind w:left="1440" w:hanging="360"/>
      </w:pPr>
    </w:lvl>
    <w:lvl w:ilvl="2" w:tplc="1DB0295A">
      <w:start w:val="1"/>
      <w:numFmt w:val="lowerRoman"/>
      <w:lvlText w:val="%3."/>
      <w:lvlJc w:val="right"/>
      <w:pPr>
        <w:tabs>
          <w:tab w:val="num" w:pos="0"/>
        </w:tabs>
        <w:ind w:left="2160" w:hanging="180"/>
      </w:pPr>
    </w:lvl>
    <w:lvl w:ilvl="3" w:tplc="D3D88450">
      <w:start w:val="1"/>
      <w:numFmt w:val="decimal"/>
      <w:lvlText w:val="%4."/>
      <w:lvlJc w:val="left"/>
      <w:pPr>
        <w:tabs>
          <w:tab w:val="num" w:pos="0"/>
        </w:tabs>
        <w:ind w:left="2880" w:hanging="360"/>
      </w:pPr>
    </w:lvl>
    <w:lvl w:ilvl="4" w:tplc="554EF41E">
      <w:start w:val="1"/>
      <w:numFmt w:val="lowerLetter"/>
      <w:lvlText w:val="%5."/>
      <w:lvlJc w:val="left"/>
      <w:pPr>
        <w:tabs>
          <w:tab w:val="num" w:pos="0"/>
        </w:tabs>
        <w:ind w:left="3600" w:hanging="360"/>
      </w:pPr>
    </w:lvl>
    <w:lvl w:ilvl="5" w:tplc="B93A676C">
      <w:start w:val="1"/>
      <w:numFmt w:val="lowerRoman"/>
      <w:lvlText w:val="%6."/>
      <w:lvlJc w:val="right"/>
      <w:pPr>
        <w:tabs>
          <w:tab w:val="num" w:pos="0"/>
        </w:tabs>
        <w:ind w:left="4320" w:hanging="180"/>
      </w:pPr>
    </w:lvl>
    <w:lvl w:ilvl="6" w:tplc="1A1600E6">
      <w:start w:val="1"/>
      <w:numFmt w:val="decimal"/>
      <w:lvlText w:val="%7."/>
      <w:lvlJc w:val="left"/>
      <w:pPr>
        <w:tabs>
          <w:tab w:val="num" w:pos="0"/>
        </w:tabs>
        <w:ind w:left="5040" w:hanging="360"/>
      </w:pPr>
    </w:lvl>
    <w:lvl w:ilvl="7" w:tplc="D826D304">
      <w:start w:val="1"/>
      <w:numFmt w:val="lowerLetter"/>
      <w:lvlText w:val="%8."/>
      <w:lvlJc w:val="left"/>
      <w:pPr>
        <w:tabs>
          <w:tab w:val="num" w:pos="0"/>
        </w:tabs>
        <w:ind w:left="5760" w:hanging="360"/>
      </w:pPr>
    </w:lvl>
    <w:lvl w:ilvl="8" w:tplc="F9B8A8C6">
      <w:start w:val="1"/>
      <w:numFmt w:val="lowerRoman"/>
      <w:lvlText w:val="%9."/>
      <w:lvlJc w:val="right"/>
      <w:pPr>
        <w:tabs>
          <w:tab w:val="num" w:pos="0"/>
        </w:tabs>
        <w:ind w:left="6480" w:hanging="180"/>
      </w:pPr>
    </w:lvl>
  </w:abstractNum>
  <w:abstractNum w:abstractNumId="72" w15:restartNumberingAfterBreak="0">
    <w:nsid w:val="742877E5"/>
    <w:multiLevelType w:val="hybridMultilevel"/>
    <w:tmpl w:val="AC968012"/>
    <w:lvl w:ilvl="0" w:tplc="AB82249C">
      <w:start w:val="1"/>
      <w:numFmt w:val="decimal"/>
      <w:lvlText w:val="%1."/>
      <w:lvlJc w:val="left"/>
      <w:pPr>
        <w:tabs>
          <w:tab w:val="num" w:pos="0"/>
        </w:tabs>
        <w:ind w:left="720" w:hanging="360"/>
      </w:pPr>
    </w:lvl>
    <w:lvl w:ilvl="1" w:tplc="E7FC4094">
      <w:start w:val="1"/>
      <w:numFmt w:val="lowerLetter"/>
      <w:lvlText w:val="%2."/>
      <w:lvlJc w:val="left"/>
      <w:pPr>
        <w:tabs>
          <w:tab w:val="num" w:pos="0"/>
        </w:tabs>
        <w:ind w:left="1440" w:hanging="360"/>
      </w:pPr>
    </w:lvl>
    <w:lvl w:ilvl="2" w:tplc="F04EA4DE">
      <w:start w:val="1"/>
      <w:numFmt w:val="lowerRoman"/>
      <w:lvlText w:val="%3."/>
      <w:lvlJc w:val="right"/>
      <w:pPr>
        <w:tabs>
          <w:tab w:val="num" w:pos="0"/>
        </w:tabs>
        <w:ind w:left="2160" w:hanging="180"/>
      </w:pPr>
    </w:lvl>
    <w:lvl w:ilvl="3" w:tplc="83667586">
      <w:start w:val="1"/>
      <w:numFmt w:val="decimal"/>
      <w:lvlText w:val="%4."/>
      <w:lvlJc w:val="left"/>
      <w:pPr>
        <w:tabs>
          <w:tab w:val="num" w:pos="0"/>
        </w:tabs>
        <w:ind w:left="2880" w:hanging="360"/>
      </w:pPr>
    </w:lvl>
    <w:lvl w:ilvl="4" w:tplc="FC366D48">
      <w:start w:val="1"/>
      <w:numFmt w:val="lowerLetter"/>
      <w:lvlText w:val="%5."/>
      <w:lvlJc w:val="left"/>
      <w:pPr>
        <w:tabs>
          <w:tab w:val="num" w:pos="0"/>
        </w:tabs>
        <w:ind w:left="3600" w:hanging="360"/>
      </w:pPr>
    </w:lvl>
    <w:lvl w:ilvl="5" w:tplc="C728E7A2">
      <w:start w:val="1"/>
      <w:numFmt w:val="lowerRoman"/>
      <w:lvlText w:val="%6."/>
      <w:lvlJc w:val="right"/>
      <w:pPr>
        <w:tabs>
          <w:tab w:val="num" w:pos="0"/>
        </w:tabs>
        <w:ind w:left="4320" w:hanging="180"/>
      </w:pPr>
    </w:lvl>
    <w:lvl w:ilvl="6" w:tplc="DEEA68C6">
      <w:start w:val="1"/>
      <w:numFmt w:val="decimal"/>
      <w:lvlText w:val="%7."/>
      <w:lvlJc w:val="left"/>
      <w:pPr>
        <w:tabs>
          <w:tab w:val="num" w:pos="0"/>
        </w:tabs>
        <w:ind w:left="5040" w:hanging="360"/>
      </w:pPr>
    </w:lvl>
    <w:lvl w:ilvl="7" w:tplc="11A40A0E">
      <w:start w:val="1"/>
      <w:numFmt w:val="lowerLetter"/>
      <w:lvlText w:val="%8."/>
      <w:lvlJc w:val="left"/>
      <w:pPr>
        <w:tabs>
          <w:tab w:val="num" w:pos="0"/>
        </w:tabs>
        <w:ind w:left="5760" w:hanging="360"/>
      </w:pPr>
    </w:lvl>
    <w:lvl w:ilvl="8" w:tplc="0672A308">
      <w:start w:val="1"/>
      <w:numFmt w:val="lowerRoman"/>
      <w:lvlText w:val="%9."/>
      <w:lvlJc w:val="right"/>
      <w:pPr>
        <w:tabs>
          <w:tab w:val="num" w:pos="0"/>
        </w:tabs>
        <w:ind w:left="6480" w:hanging="180"/>
      </w:pPr>
    </w:lvl>
  </w:abstractNum>
  <w:abstractNum w:abstractNumId="73" w15:restartNumberingAfterBreak="0">
    <w:nsid w:val="771251C9"/>
    <w:multiLevelType w:val="hybridMultilevel"/>
    <w:tmpl w:val="AEEE72A6"/>
    <w:lvl w:ilvl="0" w:tplc="DB56EC46">
      <w:start w:val="1"/>
      <w:numFmt w:val="decimal"/>
      <w:lvlText w:val="%1."/>
      <w:lvlJc w:val="left"/>
      <w:pPr>
        <w:tabs>
          <w:tab w:val="num" w:pos="0"/>
        </w:tabs>
        <w:ind w:left="720" w:hanging="360"/>
      </w:pPr>
    </w:lvl>
    <w:lvl w:ilvl="1" w:tplc="BA583392">
      <w:start w:val="1"/>
      <w:numFmt w:val="lowerLetter"/>
      <w:lvlText w:val="%2."/>
      <w:lvlJc w:val="left"/>
      <w:pPr>
        <w:tabs>
          <w:tab w:val="num" w:pos="0"/>
        </w:tabs>
        <w:ind w:left="1440" w:hanging="360"/>
      </w:pPr>
    </w:lvl>
    <w:lvl w:ilvl="2" w:tplc="CF80FD06">
      <w:start w:val="1"/>
      <w:numFmt w:val="lowerRoman"/>
      <w:lvlText w:val="%3."/>
      <w:lvlJc w:val="right"/>
      <w:pPr>
        <w:tabs>
          <w:tab w:val="num" w:pos="0"/>
        </w:tabs>
        <w:ind w:left="2160" w:hanging="180"/>
      </w:pPr>
    </w:lvl>
    <w:lvl w:ilvl="3" w:tplc="5B0AEFE0">
      <w:start w:val="1"/>
      <w:numFmt w:val="decimal"/>
      <w:lvlText w:val="%4."/>
      <w:lvlJc w:val="left"/>
      <w:pPr>
        <w:tabs>
          <w:tab w:val="num" w:pos="0"/>
        </w:tabs>
        <w:ind w:left="2880" w:hanging="360"/>
      </w:pPr>
    </w:lvl>
    <w:lvl w:ilvl="4" w:tplc="22023296">
      <w:start w:val="1"/>
      <w:numFmt w:val="lowerLetter"/>
      <w:lvlText w:val="%5."/>
      <w:lvlJc w:val="left"/>
      <w:pPr>
        <w:tabs>
          <w:tab w:val="num" w:pos="0"/>
        </w:tabs>
        <w:ind w:left="3600" w:hanging="360"/>
      </w:pPr>
    </w:lvl>
    <w:lvl w:ilvl="5" w:tplc="ED3215AA">
      <w:start w:val="1"/>
      <w:numFmt w:val="lowerRoman"/>
      <w:lvlText w:val="%6."/>
      <w:lvlJc w:val="right"/>
      <w:pPr>
        <w:tabs>
          <w:tab w:val="num" w:pos="0"/>
        </w:tabs>
        <w:ind w:left="4320" w:hanging="180"/>
      </w:pPr>
    </w:lvl>
    <w:lvl w:ilvl="6" w:tplc="9EACA108">
      <w:start w:val="1"/>
      <w:numFmt w:val="decimal"/>
      <w:lvlText w:val="%7."/>
      <w:lvlJc w:val="left"/>
      <w:pPr>
        <w:tabs>
          <w:tab w:val="num" w:pos="0"/>
        </w:tabs>
        <w:ind w:left="5040" w:hanging="360"/>
      </w:pPr>
    </w:lvl>
    <w:lvl w:ilvl="7" w:tplc="5C82658E">
      <w:start w:val="1"/>
      <w:numFmt w:val="lowerLetter"/>
      <w:lvlText w:val="%8."/>
      <w:lvlJc w:val="left"/>
      <w:pPr>
        <w:tabs>
          <w:tab w:val="num" w:pos="0"/>
        </w:tabs>
        <w:ind w:left="5760" w:hanging="360"/>
      </w:pPr>
    </w:lvl>
    <w:lvl w:ilvl="8" w:tplc="826494F2">
      <w:start w:val="1"/>
      <w:numFmt w:val="lowerRoman"/>
      <w:lvlText w:val="%9."/>
      <w:lvlJc w:val="right"/>
      <w:pPr>
        <w:tabs>
          <w:tab w:val="num" w:pos="0"/>
        </w:tabs>
        <w:ind w:left="6480" w:hanging="180"/>
      </w:pPr>
    </w:lvl>
  </w:abstractNum>
  <w:abstractNum w:abstractNumId="74" w15:restartNumberingAfterBreak="0">
    <w:nsid w:val="7755543E"/>
    <w:multiLevelType w:val="hybridMultilevel"/>
    <w:tmpl w:val="2722895E"/>
    <w:lvl w:ilvl="0" w:tplc="4F04CEF4">
      <w:start w:val="1"/>
      <w:numFmt w:val="decimal"/>
      <w:lvlText w:val="%1."/>
      <w:lvlJc w:val="left"/>
      <w:pPr>
        <w:tabs>
          <w:tab w:val="num" w:pos="0"/>
        </w:tabs>
        <w:ind w:left="720" w:hanging="360"/>
      </w:pPr>
    </w:lvl>
    <w:lvl w:ilvl="1" w:tplc="E3B683AE">
      <w:start w:val="1"/>
      <w:numFmt w:val="lowerLetter"/>
      <w:lvlText w:val="%2."/>
      <w:lvlJc w:val="left"/>
      <w:pPr>
        <w:tabs>
          <w:tab w:val="num" w:pos="0"/>
        </w:tabs>
        <w:ind w:left="1440" w:hanging="360"/>
      </w:pPr>
    </w:lvl>
    <w:lvl w:ilvl="2" w:tplc="27043582">
      <w:start w:val="1"/>
      <w:numFmt w:val="lowerRoman"/>
      <w:lvlText w:val="%3."/>
      <w:lvlJc w:val="right"/>
      <w:pPr>
        <w:tabs>
          <w:tab w:val="num" w:pos="0"/>
        </w:tabs>
        <w:ind w:left="2160" w:hanging="180"/>
      </w:pPr>
    </w:lvl>
    <w:lvl w:ilvl="3" w:tplc="4144584C">
      <w:start w:val="1"/>
      <w:numFmt w:val="decimal"/>
      <w:lvlText w:val="%4."/>
      <w:lvlJc w:val="left"/>
      <w:pPr>
        <w:tabs>
          <w:tab w:val="num" w:pos="0"/>
        </w:tabs>
        <w:ind w:left="2880" w:hanging="360"/>
      </w:pPr>
    </w:lvl>
    <w:lvl w:ilvl="4" w:tplc="DED6699E">
      <w:start w:val="1"/>
      <w:numFmt w:val="lowerLetter"/>
      <w:lvlText w:val="%5."/>
      <w:lvlJc w:val="left"/>
      <w:pPr>
        <w:tabs>
          <w:tab w:val="num" w:pos="0"/>
        </w:tabs>
        <w:ind w:left="3600" w:hanging="360"/>
      </w:pPr>
    </w:lvl>
    <w:lvl w:ilvl="5" w:tplc="6C7064B6">
      <w:start w:val="1"/>
      <w:numFmt w:val="lowerRoman"/>
      <w:lvlText w:val="%6."/>
      <w:lvlJc w:val="right"/>
      <w:pPr>
        <w:tabs>
          <w:tab w:val="num" w:pos="0"/>
        </w:tabs>
        <w:ind w:left="4320" w:hanging="180"/>
      </w:pPr>
    </w:lvl>
    <w:lvl w:ilvl="6" w:tplc="08D05EAC">
      <w:start w:val="1"/>
      <w:numFmt w:val="decimal"/>
      <w:lvlText w:val="%7."/>
      <w:lvlJc w:val="left"/>
      <w:pPr>
        <w:tabs>
          <w:tab w:val="num" w:pos="0"/>
        </w:tabs>
        <w:ind w:left="5040" w:hanging="360"/>
      </w:pPr>
    </w:lvl>
    <w:lvl w:ilvl="7" w:tplc="5E70468C">
      <w:start w:val="1"/>
      <w:numFmt w:val="lowerLetter"/>
      <w:lvlText w:val="%8."/>
      <w:lvlJc w:val="left"/>
      <w:pPr>
        <w:tabs>
          <w:tab w:val="num" w:pos="0"/>
        </w:tabs>
        <w:ind w:left="5760" w:hanging="360"/>
      </w:pPr>
    </w:lvl>
    <w:lvl w:ilvl="8" w:tplc="C592E8D8">
      <w:start w:val="1"/>
      <w:numFmt w:val="lowerRoman"/>
      <w:lvlText w:val="%9."/>
      <w:lvlJc w:val="right"/>
      <w:pPr>
        <w:tabs>
          <w:tab w:val="num" w:pos="0"/>
        </w:tabs>
        <w:ind w:left="6480" w:hanging="180"/>
      </w:pPr>
    </w:lvl>
  </w:abstractNum>
  <w:abstractNum w:abstractNumId="75" w15:restartNumberingAfterBreak="0">
    <w:nsid w:val="79447F44"/>
    <w:multiLevelType w:val="hybridMultilevel"/>
    <w:tmpl w:val="68E0DC34"/>
    <w:lvl w:ilvl="0" w:tplc="5510DE78">
      <w:start w:val="1"/>
      <w:numFmt w:val="decimal"/>
      <w:lvlText w:val="%1."/>
      <w:lvlJc w:val="left"/>
      <w:pPr>
        <w:tabs>
          <w:tab w:val="num" w:pos="0"/>
        </w:tabs>
        <w:ind w:left="720" w:hanging="360"/>
      </w:pPr>
    </w:lvl>
    <w:lvl w:ilvl="1" w:tplc="290889D0">
      <w:start w:val="1"/>
      <w:numFmt w:val="lowerLetter"/>
      <w:lvlText w:val="%2."/>
      <w:lvlJc w:val="left"/>
      <w:pPr>
        <w:tabs>
          <w:tab w:val="num" w:pos="0"/>
        </w:tabs>
        <w:ind w:left="1440" w:hanging="360"/>
      </w:pPr>
    </w:lvl>
    <w:lvl w:ilvl="2" w:tplc="77A8019C">
      <w:start w:val="1"/>
      <w:numFmt w:val="lowerRoman"/>
      <w:lvlText w:val="%3."/>
      <w:lvlJc w:val="right"/>
      <w:pPr>
        <w:tabs>
          <w:tab w:val="num" w:pos="0"/>
        </w:tabs>
        <w:ind w:left="2160" w:hanging="180"/>
      </w:pPr>
    </w:lvl>
    <w:lvl w:ilvl="3" w:tplc="22509DDA">
      <w:start w:val="1"/>
      <w:numFmt w:val="decimal"/>
      <w:lvlText w:val="%4."/>
      <w:lvlJc w:val="left"/>
      <w:pPr>
        <w:tabs>
          <w:tab w:val="num" w:pos="0"/>
        </w:tabs>
        <w:ind w:left="2880" w:hanging="360"/>
      </w:pPr>
    </w:lvl>
    <w:lvl w:ilvl="4" w:tplc="2C24E018">
      <w:start w:val="1"/>
      <w:numFmt w:val="lowerLetter"/>
      <w:lvlText w:val="%5."/>
      <w:lvlJc w:val="left"/>
      <w:pPr>
        <w:tabs>
          <w:tab w:val="num" w:pos="0"/>
        </w:tabs>
        <w:ind w:left="3600" w:hanging="360"/>
      </w:pPr>
    </w:lvl>
    <w:lvl w:ilvl="5" w:tplc="B2E0AF12">
      <w:start w:val="1"/>
      <w:numFmt w:val="lowerRoman"/>
      <w:lvlText w:val="%6."/>
      <w:lvlJc w:val="right"/>
      <w:pPr>
        <w:tabs>
          <w:tab w:val="num" w:pos="0"/>
        </w:tabs>
        <w:ind w:left="4320" w:hanging="180"/>
      </w:pPr>
    </w:lvl>
    <w:lvl w:ilvl="6" w:tplc="B38A4042">
      <w:start w:val="1"/>
      <w:numFmt w:val="decimal"/>
      <w:lvlText w:val="%7."/>
      <w:lvlJc w:val="left"/>
      <w:pPr>
        <w:tabs>
          <w:tab w:val="num" w:pos="0"/>
        </w:tabs>
        <w:ind w:left="5040" w:hanging="360"/>
      </w:pPr>
    </w:lvl>
    <w:lvl w:ilvl="7" w:tplc="734A76D8">
      <w:start w:val="1"/>
      <w:numFmt w:val="lowerLetter"/>
      <w:lvlText w:val="%8."/>
      <w:lvlJc w:val="left"/>
      <w:pPr>
        <w:tabs>
          <w:tab w:val="num" w:pos="0"/>
        </w:tabs>
        <w:ind w:left="5760" w:hanging="360"/>
      </w:pPr>
    </w:lvl>
    <w:lvl w:ilvl="8" w:tplc="972AAC84">
      <w:start w:val="1"/>
      <w:numFmt w:val="lowerRoman"/>
      <w:lvlText w:val="%9."/>
      <w:lvlJc w:val="right"/>
      <w:pPr>
        <w:tabs>
          <w:tab w:val="num" w:pos="0"/>
        </w:tabs>
        <w:ind w:left="6480" w:hanging="180"/>
      </w:pPr>
    </w:lvl>
  </w:abstractNum>
  <w:abstractNum w:abstractNumId="76" w15:restartNumberingAfterBreak="0">
    <w:nsid w:val="7C8A1D8D"/>
    <w:multiLevelType w:val="hybridMultilevel"/>
    <w:tmpl w:val="AB84966E"/>
    <w:lvl w:ilvl="0" w:tplc="8AC074E2">
      <w:start w:val="1"/>
      <w:numFmt w:val="decimal"/>
      <w:lvlText w:val="%1."/>
      <w:lvlJc w:val="left"/>
      <w:pPr>
        <w:tabs>
          <w:tab w:val="num" w:pos="0"/>
        </w:tabs>
        <w:ind w:left="720" w:hanging="360"/>
      </w:pPr>
    </w:lvl>
    <w:lvl w:ilvl="1" w:tplc="88DCC2F2">
      <w:start w:val="1"/>
      <w:numFmt w:val="lowerLetter"/>
      <w:lvlText w:val="%2."/>
      <w:lvlJc w:val="left"/>
      <w:pPr>
        <w:tabs>
          <w:tab w:val="num" w:pos="0"/>
        </w:tabs>
        <w:ind w:left="1440" w:hanging="360"/>
      </w:pPr>
    </w:lvl>
    <w:lvl w:ilvl="2" w:tplc="3B1ABD9C">
      <w:start w:val="1"/>
      <w:numFmt w:val="lowerRoman"/>
      <w:lvlText w:val="%3."/>
      <w:lvlJc w:val="right"/>
      <w:pPr>
        <w:tabs>
          <w:tab w:val="num" w:pos="0"/>
        </w:tabs>
        <w:ind w:left="2160" w:hanging="180"/>
      </w:pPr>
    </w:lvl>
    <w:lvl w:ilvl="3" w:tplc="837EF0C6">
      <w:start w:val="1"/>
      <w:numFmt w:val="decimal"/>
      <w:lvlText w:val="%4."/>
      <w:lvlJc w:val="left"/>
      <w:pPr>
        <w:tabs>
          <w:tab w:val="num" w:pos="0"/>
        </w:tabs>
        <w:ind w:left="2880" w:hanging="360"/>
      </w:pPr>
    </w:lvl>
    <w:lvl w:ilvl="4" w:tplc="6E5093E6">
      <w:start w:val="1"/>
      <w:numFmt w:val="lowerLetter"/>
      <w:lvlText w:val="%5."/>
      <w:lvlJc w:val="left"/>
      <w:pPr>
        <w:tabs>
          <w:tab w:val="num" w:pos="0"/>
        </w:tabs>
        <w:ind w:left="3600" w:hanging="360"/>
      </w:pPr>
    </w:lvl>
    <w:lvl w:ilvl="5" w:tplc="88243A2E">
      <w:start w:val="1"/>
      <w:numFmt w:val="lowerRoman"/>
      <w:lvlText w:val="%6."/>
      <w:lvlJc w:val="right"/>
      <w:pPr>
        <w:tabs>
          <w:tab w:val="num" w:pos="0"/>
        </w:tabs>
        <w:ind w:left="4320" w:hanging="180"/>
      </w:pPr>
    </w:lvl>
    <w:lvl w:ilvl="6" w:tplc="59E87CC0">
      <w:start w:val="1"/>
      <w:numFmt w:val="decimal"/>
      <w:lvlText w:val="%7."/>
      <w:lvlJc w:val="left"/>
      <w:pPr>
        <w:tabs>
          <w:tab w:val="num" w:pos="0"/>
        </w:tabs>
        <w:ind w:left="5040" w:hanging="360"/>
      </w:pPr>
    </w:lvl>
    <w:lvl w:ilvl="7" w:tplc="43187FFC">
      <w:start w:val="1"/>
      <w:numFmt w:val="lowerLetter"/>
      <w:lvlText w:val="%8."/>
      <w:lvlJc w:val="left"/>
      <w:pPr>
        <w:tabs>
          <w:tab w:val="num" w:pos="0"/>
        </w:tabs>
        <w:ind w:left="5760" w:hanging="360"/>
      </w:pPr>
    </w:lvl>
    <w:lvl w:ilvl="8" w:tplc="55309F26">
      <w:start w:val="1"/>
      <w:numFmt w:val="lowerRoman"/>
      <w:lvlText w:val="%9."/>
      <w:lvlJc w:val="right"/>
      <w:pPr>
        <w:tabs>
          <w:tab w:val="num" w:pos="0"/>
        </w:tabs>
        <w:ind w:left="6480" w:hanging="180"/>
      </w:pPr>
    </w:lvl>
  </w:abstractNum>
  <w:abstractNum w:abstractNumId="77" w15:restartNumberingAfterBreak="0">
    <w:nsid w:val="7CA1775B"/>
    <w:multiLevelType w:val="hybridMultilevel"/>
    <w:tmpl w:val="4C828A98"/>
    <w:lvl w:ilvl="0" w:tplc="64E664CC">
      <w:start w:val="1"/>
      <w:numFmt w:val="decimal"/>
      <w:lvlText w:val="%1."/>
      <w:lvlJc w:val="left"/>
      <w:pPr>
        <w:tabs>
          <w:tab w:val="num" w:pos="0"/>
        </w:tabs>
        <w:ind w:left="720" w:hanging="360"/>
      </w:pPr>
    </w:lvl>
    <w:lvl w:ilvl="1" w:tplc="59126CAE">
      <w:start w:val="1"/>
      <w:numFmt w:val="lowerLetter"/>
      <w:lvlText w:val="%2."/>
      <w:lvlJc w:val="left"/>
      <w:pPr>
        <w:tabs>
          <w:tab w:val="num" w:pos="0"/>
        </w:tabs>
        <w:ind w:left="1440" w:hanging="360"/>
      </w:pPr>
    </w:lvl>
    <w:lvl w:ilvl="2" w:tplc="CC5A58A6">
      <w:start w:val="1"/>
      <w:numFmt w:val="lowerRoman"/>
      <w:lvlText w:val="%3."/>
      <w:lvlJc w:val="right"/>
      <w:pPr>
        <w:tabs>
          <w:tab w:val="num" w:pos="0"/>
        </w:tabs>
        <w:ind w:left="2160" w:hanging="180"/>
      </w:pPr>
    </w:lvl>
    <w:lvl w:ilvl="3" w:tplc="41248784">
      <w:start w:val="1"/>
      <w:numFmt w:val="decimal"/>
      <w:lvlText w:val="%4."/>
      <w:lvlJc w:val="left"/>
      <w:pPr>
        <w:tabs>
          <w:tab w:val="num" w:pos="0"/>
        </w:tabs>
        <w:ind w:left="2880" w:hanging="360"/>
      </w:pPr>
    </w:lvl>
    <w:lvl w:ilvl="4" w:tplc="3648CD48">
      <w:start w:val="1"/>
      <w:numFmt w:val="lowerLetter"/>
      <w:lvlText w:val="%5."/>
      <w:lvlJc w:val="left"/>
      <w:pPr>
        <w:tabs>
          <w:tab w:val="num" w:pos="0"/>
        </w:tabs>
        <w:ind w:left="3600" w:hanging="360"/>
      </w:pPr>
    </w:lvl>
    <w:lvl w:ilvl="5" w:tplc="BDC4B5A8">
      <w:start w:val="1"/>
      <w:numFmt w:val="lowerRoman"/>
      <w:lvlText w:val="%6."/>
      <w:lvlJc w:val="right"/>
      <w:pPr>
        <w:tabs>
          <w:tab w:val="num" w:pos="0"/>
        </w:tabs>
        <w:ind w:left="4320" w:hanging="180"/>
      </w:pPr>
    </w:lvl>
    <w:lvl w:ilvl="6" w:tplc="9B0A4A5A">
      <w:start w:val="1"/>
      <w:numFmt w:val="decimal"/>
      <w:lvlText w:val="%7."/>
      <w:lvlJc w:val="left"/>
      <w:pPr>
        <w:tabs>
          <w:tab w:val="num" w:pos="0"/>
        </w:tabs>
        <w:ind w:left="5040" w:hanging="360"/>
      </w:pPr>
    </w:lvl>
    <w:lvl w:ilvl="7" w:tplc="E3468AAA">
      <w:start w:val="1"/>
      <w:numFmt w:val="lowerLetter"/>
      <w:lvlText w:val="%8."/>
      <w:lvlJc w:val="left"/>
      <w:pPr>
        <w:tabs>
          <w:tab w:val="num" w:pos="0"/>
        </w:tabs>
        <w:ind w:left="5760" w:hanging="360"/>
      </w:pPr>
    </w:lvl>
    <w:lvl w:ilvl="8" w:tplc="2E18B7E6">
      <w:start w:val="1"/>
      <w:numFmt w:val="lowerRoman"/>
      <w:lvlText w:val="%9."/>
      <w:lvlJc w:val="right"/>
      <w:pPr>
        <w:tabs>
          <w:tab w:val="num" w:pos="0"/>
        </w:tabs>
        <w:ind w:left="6480" w:hanging="180"/>
      </w:pPr>
    </w:lvl>
  </w:abstractNum>
  <w:abstractNum w:abstractNumId="78" w15:restartNumberingAfterBreak="0">
    <w:nsid w:val="7FC862C9"/>
    <w:multiLevelType w:val="hybridMultilevel"/>
    <w:tmpl w:val="E71CA502"/>
    <w:lvl w:ilvl="0" w:tplc="AD82DD02">
      <w:start w:val="1"/>
      <w:numFmt w:val="decimal"/>
      <w:lvlText w:val="%1."/>
      <w:lvlJc w:val="left"/>
      <w:pPr>
        <w:tabs>
          <w:tab w:val="num" w:pos="0"/>
        </w:tabs>
        <w:ind w:left="720" w:hanging="360"/>
      </w:pPr>
    </w:lvl>
    <w:lvl w:ilvl="1" w:tplc="5080C4C0">
      <w:start w:val="1"/>
      <w:numFmt w:val="lowerLetter"/>
      <w:lvlText w:val="%2."/>
      <w:lvlJc w:val="left"/>
      <w:pPr>
        <w:tabs>
          <w:tab w:val="num" w:pos="0"/>
        </w:tabs>
        <w:ind w:left="1440" w:hanging="360"/>
      </w:pPr>
    </w:lvl>
    <w:lvl w:ilvl="2" w:tplc="B2DAD2A2">
      <w:start w:val="1"/>
      <w:numFmt w:val="lowerRoman"/>
      <w:lvlText w:val="%3."/>
      <w:lvlJc w:val="right"/>
      <w:pPr>
        <w:tabs>
          <w:tab w:val="num" w:pos="0"/>
        </w:tabs>
        <w:ind w:left="2160" w:hanging="180"/>
      </w:pPr>
    </w:lvl>
    <w:lvl w:ilvl="3" w:tplc="31DC52D6">
      <w:start w:val="1"/>
      <w:numFmt w:val="decimal"/>
      <w:lvlText w:val="%4."/>
      <w:lvlJc w:val="left"/>
      <w:pPr>
        <w:tabs>
          <w:tab w:val="num" w:pos="0"/>
        </w:tabs>
        <w:ind w:left="2880" w:hanging="360"/>
      </w:pPr>
    </w:lvl>
    <w:lvl w:ilvl="4" w:tplc="4ACE3B86">
      <w:start w:val="1"/>
      <w:numFmt w:val="lowerLetter"/>
      <w:lvlText w:val="%5."/>
      <w:lvlJc w:val="left"/>
      <w:pPr>
        <w:tabs>
          <w:tab w:val="num" w:pos="0"/>
        </w:tabs>
        <w:ind w:left="3600" w:hanging="360"/>
      </w:pPr>
    </w:lvl>
    <w:lvl w:ilvl="5" w:tplc="16D8B96C">
      <w:start w:val="1"/>
      <w:numFmt w:val="lowerRoman"/>
      <w:lvlText w:val="%6."/>
      <w:lvlJc w:val="right"/>
      <w:pPr>
        <w:tabs>
          <w:tab w:val="num" w:pos="0"/>
        </w:tabs>
        <w:ind w:left="4320" w:hanging="180"/>
      </w:pPr>
    </w:lvl>
    <w:lvl w:ilvl="6" w:tplc="D84A18F2">
      <w:start w:val="1"/>
      <w:numFmt w:val="decimal"/>
      <w:lvlText w:val="%7."/>
      <w:lvlJc w:val="left"/>
      <w:pPr>
        <w:tabs>
          <w:tab w:val="num" w:pos="0"/>
        </w:tabs>
        <w:ind w:left="5040" w:hanging="360"/>
      </w:pPr>
    </w:lvl>
    <w:lvl w:ilvl="7" w:tplc="5504DB0E">
      <w:start w:val="1"/>
      <w:numFmt w:val="lowerLetter"/>
      <w:lvlText w:val="%8."/>
      <w:lvlJc w:val="left"/>
      <w:pPr>
        <w:tabs>
          <w:tab w:val="num" w:pos="0"/>
        </w:tabs>
        <w:ind w:left="5760" w:hanging="360"/>
      </w:pPr>
    </w:lvl>
    <w:lvl w:ilvl="8" w:tplc="606EB03E">
      <w:start w:val="1"/>
      <w:numFmt w:val="lowerRoman"/>
      <w:lvlText w:val="%9."/>
      <w:lvlJc w:val="right"/>
      <w:pPr>
        <w:tabs>
          <w:tab w:val="num" w:pos="0"/>
        </w:tabs>
        <w:ind w:left="6480" w:hanging="180"/>
      </w:pPr>
    </w:lvl>
  </w:abstractNum>
  <w:num w:numId="1">
    <w:abstractNumId w:val="58"/>
  </w:num>
  <w:num w:numId="2">
    <w:abstractNumId w:val="20"/>
  </w:num>
  <w:num w:numId="3">
    <w:abstractNumId w:val="15"/>
  </w:num>
  <w:num w:numId="4">
    <w:abstractNumId w:val="8"/>
  </w:num>
  <w:num w:numId="5">
    <w:abstractNumId w:val="33"/>
  </w:num>
  <w:num w:numId="6">
    <w:abstractNumId w:val="3"/>
  </w:num>
  <w:num w:numId="7">
    <w:abstractNumId w:val="38"/>
  </w:num>
  <w:num w:numId="8">
    <w:abstractNumId w:val="53"/>
  </w:num>
  <w:num w:numId="9">
    <w:abstractNumId w:val="32"/>
  </w:num>
  <w:num w:numId="10">
    <w:abstractNumId w:val="34"/>
  </w:num>
  <w:num w:numId="11">
    <w:abstractNumId w:val="47"/>
  </w:num>
  <w:num w:numId="12">
    <w:abstractNumId w:val="48"/>
  </w:num>
  <w:num w:numId="13">
    <w:abstractNumId w:val="5"/>
  </w:num>
  <w:num w:numId="14">
    <w:abstractNumId w:val="73"/>
  </w:num>
  <w:num w:numId="15">
    <w:abstractNumId w:val="39"/>
  </w:num>
  <w:num w:numId="16">
    <w:abstractNumId w:val="22"/>
  </w:num>
  <w:num w:numId="17">
    <w:abstractNumId w:val="7"/>
  </w:num>
  <w:num w:numId="18">
    <w:abstractNumId w:val="14"/>
  </w:num>
  <w:num w:numId="19">
    <w:abstractNumId w:val="69"/>
    <w:lvlOverride w:ilvl="0">
      <w:startOverride w:val="1"/>
    </w:lvlOverride>
  </w:num>
  <w:num w:numId="20">
    <w:abstractNumId w:val="56"/>
    <w:lvlOverride w:ilvl="0">
      <w:startOverride w:val="1"/>
    </w:lvlOverride>
  </w:num>
  <w:num w:numId="21">
    <w:abstractNumId w:val="56"/>
  </w:num>
  <w:num w:numId="22">
    <w:abstractNumId w:val="56"/>
  </w:num>
  <w:num w:numId="23">
    <w:abstractNumId w:val="43"/>
    <w:lvlOverride w:ilvl="0">
      <w:startOverride w:val="1"/>
    </w:lvlOverride>
  </w:num>
  <w:num w:numId="24">
    <w:abstractNumId w:val="43"/>
  </w:num>
  <w:num w:numId="25">
    <w:abstractNumId w:val="43"/>
  </w:num>
  <w:num w:numId="26">
    <w:abstractNumId w:val="31"/>
    <w:lvlOverride w:ilvl="0">
      <w:startOverride w:val="1"/>
    </w:lvlOverride>
  </w:num>
  <w:num w:numId="27">
    <w:abstractNumId w:val="52"/>
    <w:lvlOverride w:ilvl="0">
      <w:startOverride w:val="1"/>
    </w:lvlOverride>
  </w:num>
  <w:num w:numId="28">
    <w:abstractNumId w:val="52"/>
  </w:num>
  <w:num w:numId="29">
    <w:abstractNumId w:val="52"/>
  </w:num>
  <w:num w:numId="30">
    <w:abstractNumId w:val="52"/>
  </w:num>
  <w:num w:numId="31">
    <w:abstractNumId w:val="17"/>
    <w:lvlOverride w:ilvl="0">
      <w:startOverride w:val="1"/>
    </w:lvlOverride>
  </w:num>
  <w:num w:numId="32">
    <w:abstractNumId w:val="0"/>
    <w:lvlOverride w:ilvl="0">
      <w:startOverride w:val="1"/>
    </w:lvlOverride>
  </w:num>
  <w:num w:numId="33">
    <w:abstractNumId w:val="46"/>
    <w:lvlOverride w:ilvl="0">
      <w:startOverride w:val="1"/>
    </w:lvlOverride>
  </w:num>
  <w:num w:numId="34">
    <w:abstractNumId w:val="66"/>
    <w:lvlOverride w:ilvl="0">
      <w:startOverride w:val="1"/>
    </w:lvlOverride>
  </w:num>
  <w:num w:numId="35">
    <w:abstractNumId w:val="66"/>
  </w:num>
  <w:num w:numId="36">
    <w:abstractNumId w:val="66"/>
  </w:num>
  <w:num w:numId="37">
    <w:abstractNumId w:val="18"/>
    <w:lvlOverride w:ilvl="0">
      <w:startOverride w:val="1"/>
    </w:lvlOverride>
  </w:num>
  <w:num w:numId="38">
    <w:abstractNumId w:val="45"/>
    <w:lvlOverride w:ilvl="0">
      <w:startOverride w:val="1"/>
    </w:lvlOverride>
  </w:num>
  <w:num w:numId="39">
    <w:abstractNumId w:val="45"/>
  </w:num>
  <w:num w:numId="40">
    <w:abstractNumId w:val="16"/>
    <w:lvlOverride w:ilvl="0">
      <w:startOverride w:val="1"/>
    </w:lvlOverride>
  </w:num>
  <w:num w:numId="41">
    <w:abstractNumId w:val="16"/>
  </w:num>
  <w:num w:numId="42">
    <w:abstractNumId w:val="72"/>
    <w:lvlOverride w:ilvl="0">
      <w:startOverride w:val="1"/>
    </w:lvlOverride>
  </w:num>
  <w:num w:numId="43">
    <w:abstractNumId w:val="78"/>
    <w:lvlOverride w:ilvl="0">
      <w:startOverride w:val="1"/>
    </w:lvlOverride>
  </w:num>
  <w:num w:numId="44">
    <w:abstractNumId w:val="60"/>
    <w:lvlOverride w:ilvl="0">
      <w:startOverride w:val="1"/>
    </w:lvlOverride>
  </w:num>
  <w:num w:numId="45">
    <w:abstractNumId w:val="60"/>
  </w:num>
  <w:num w:numId="46">
    <w:abstractNumId w:val="57"/>
    <w:lvlOverride w:ilvl="0">
      <w:startOverride w:val="1"/>
    </w:lvlOverride>
  </w:num>
  <w:num w:numId="47">
    <w:abstractNumId w:val="26"/>
    <w:lvlOverride w:ilvl="0">
      <w:startOverride w:val="1"/>
    </w:lvlOverride>
  </w:num>
  <w:num w:numId="48">
    <w:abstractNumId w:val="35"/>
    <w:lvlOverride w:ilvl="0">
      <w:startOverride w:val="1"/>
    </w:lvlOverride>
  </w:num>
  <w:num w:numId="49">
    <w:abstractNumId w:val="62"/>
    <w:lvlOverride w:ilvl="0">
      <w:startOverride w:val="1"/>
    </w:lvlOverride>
  </w:num>
  <w:num w:numId="50">
    <w:abstractNumId w:val="68"/>
    <w:lvlOverride w:ilvl="0">
      <w:startOverride w:val="1"/>
    </w:lvlOverride>
  </w:num>
  <w:num w:numId="51">
    <w:abstractNumId w:val="2"/>
    <w:lvlOverride w:ilvl="0">
      <w:startOverride w:val="1"/>
    </w:lvlOverride>
  </w:num>
  <w:num w:numId="52">
    <w:abstractNumId w:val="65"/>
    <w:lvlOverride w:ilvl="0">
      <w:startOverride w:val="1"/>
    </w:lvlOverride>
  </w:num>
  <w:num w:numId="53">
    <w:abstractNumId w:val="70"/>
    <w:lvlOverride w:ilvl="0">
      <w:startOverride w:val="1"/>
    </w:lvlOverride>
  </w:num>
  <w:num w:numId="54">
    <w:abstractNumId w:val="49"/>
    <w:lvlOverride w:ilvl="0">
      <w:startOverride w:val="1"/>
    </w:lvlOverride>
  </w:num>
  <w:num w:numId="55">
    <w:abstractNumId w:val="49"/>
  </w:num>
  <w:num w:numId="56">
    <w:abstractNumId w:val="4"/>
    <w:lvlOverride w:ilvl="0">
      <w:startOverride w:val="1"/>
    </w:lvlOverride>
  </w:num>
  <w:num w:numId="57">
    <w:abstractNumId w:val="11"/>
    <w:lvlOverride w:ilvl="0">
      <w:startOverride w:val="1"/>
    </w:lvlOverride>
  </w:num>
  <w:num w:numId="58">
    <w:abstractNumId w:val="76"/>
    <w:lvlOverride w:ilvl="0">
      <w:startOverride w:val="1"/>
    </w:lvlOverride>
  </w:num>
  <w:num w:numId="59">
    <w:abstractNumId w:val="76"/>
  </w:num>
  <w:num w:numId="60">
    <w:abstractNumId w:val="76"/>
  </w:num>
  <w:num w:numId="61">
    <w:abstractNumId w:val="6"/>
    <w:lvlOverride w:ilvl="0">
      <w:startOverride w:val="1"/>
    </w:lvlOverride>
  </w:num>
  <w:num w:numId="62">
    <w:abstractNumId w:val="24"/>
    <w:lvlOverride w:ilvl="0">
      <w:startOverride w:val="1"/>
    </w:lvlOverride>
  </w:num>
  <w:num w:numId="63">
    <w:abstractNumId w:val="24"/>
  </w:num>
  <w:num w:numId="64">
    <w:abstractNumId w:val="40"/>
    <w:lvlOverride w:ilvl="0">
      <w:startOverride w:val="1"/>
    </w:lvlOverride>
  </w:num>
  <w:num w:numId="65">
    <w:abstractNumId w:val="40"/>
  </w:num>
  <w:num w:numId="66">
    <w:abstractNumId w:val="1"/>
    <w:lvlOverride w:ilvl="0">
      <w:startOverride w:val="1"/>
    </w:lvlOverride>
  </w:num>
  <w:num w:numId="67">
    <w:abstractNumId w:val="64"/>
    <w:lvlOverride w:ilvl="0">
      <w:startOverride w:val="1"/>
    </w:lvlOverride>
  </w:num>
  <w:num w:numId="68">
    <w:abstractNumId w:val="51"/>
    <w:lvlOverride w:ilvl="0">
      <w:startOverride w:val="1"/>
    </w:lvlOverride>
  </w:num>
  <w:num w:numId="69">
    <w:abstractNumId w:val="51"/>
  </w:num>
  <w:num w:numId="70">
    <w:abstractNumId w:val="51"/>
  </w:num>
  <w:num w:numId="71">
    <w:abstractNumId w:val="51"/>
  </w:num>
  <w:num w:numId="72">
    <w:abstractNumId w:val="59"/>
    <w:lvlOverride w:ilvl="0">
      <w:startOverride w:val="1"/>
    </w:lvlOverride>
  </w:num>
  <w:num w:numId="73">
    <w:abstractNumId w:val="59"/>
  </w:num>
  <w:num w:numId="74">
    <w:abstractNumId w:val="59"/>
  </w:num>
  <w:num w:numId="75">
    <w:abstractNumId w:val="12"/>
    <w:lvlOverride w:ilvl="0">
      <w:startOverride w:val="1"/>
    </w:lvlOverride>
  </w:num>
  <w:num w:numId="76">
    <w:abstractNumId w:val="63"/>
    <w:lvlOverride w:ilvl="0">
      <w:startOverride w:val="1"/>
    </w:lvlOverride>
  </w:num>
  <w:num w:numId="77">
    <w:abstractNumId w:val="74"/>
    <w:lvlOverride w:ilvl="0">
      <w:startOverride w:val="1"/>
    </w:lvlOverride>
  </w:num>
  <w:num w:numId="78">
    <w:abstractNumId w:val="21"/>
    <w:lvlOverride w:ilvl="0">
      <w:startOverride w:val="1"/>
    </w:lvlOverride>
  </w:num>
  <w:num w:numId="79">
    <w:abstractNumId w:val="71"/>
    <w:lvlOverride w:ilvl="0">
      <w:startOverride w:val="1"/>
    </w:lvlOverride>
  </w:num>
  <w:num w:numId="80">
    <w:abstractNumId w:val="19"/>
    <w:lvlOverride w:ilvl="0">
      <w:startOverride w:val="1"/>
    </w:lvlOverride>
  </w:num>
  <w:num w:numId="81">
    <w:abstractNumId w:val="61"/>
    <w:lvlOverride w:ilvl="0">
      <w:startOverride w:val="1"/>
    </w:lvlOverride>
  </w:num>
  <w:num w:numId="82">
    <w:abstractNumId w:val="27"/>
    <w:lvlOverride w:ilvl="0">
      <w:startOverride w:val="1"/>
    </w:lvlOverride>
  </w:num>
  <w:num w:numId="83">
    <w:abstractNumId w:val="44"/>
    <w:lvlOverride w:ilvl="0">
      <w:startOverride w:val="1"/>
    </w:lvlOverride>
  </w:num>
  <w:num w:numId="84">
    <w:abstractNumId w:val="10"/>
    <w:lvlOverride w:ilvl="0">
      <w:startOverride w:val="1"/>
    </w:lvlOverride>
  </w:num>
  <w:num w:numId="85">
    <w:abstractNumId w:val="23"/>
    <w:lvlOverride w:ilvl="0">
      <w:startOverride w:val="1"/>
    </w:lvlOverride>
  </w:num>
  <w:num w:numId="86">
    <w:abstractNumId w:val="23"/>
  </w:num>
  <w:num w:numId="87">
    <w:abstractNumId w:val="23"/>
  </w:num>
  <w:num w:numId="88">
    <w:abstractNumId w:val="42"/>
    <w:lvlOverride w:ilvl="0">
      <w:startOverride w:val="1"/>
    </w:lvlOverride>
  </w:num>
  <w:num w:numId="89">
    <w:abstractNumId w:val="13"/>
    <w:lvlOverride w:ilvl="0">
      <w:startOverride w:val="1"/>
    </w:lvlOverride>
  </w:num>
  <w:num w:numId="90">
    <w:abstractNumId w:val="30"/>
    <w:lvlOverride w:ilvl="0">
      <w:startOverride w:val="1"/>
    </w:lvlOverride>
  </w:num>
  <w:num w:numId="91">
    <w:abstractNumId w:val="28"/>
    <w:lvlOverride w:ilvl="0">
      <w:startOverride w:val="1"/>
    </w:lvlOverride>
  </w:num>
  <w:num w:numId="92">
    <w:abstractNumId w:val="28"/>
  </w:num>
  <w:num w:numId="93">
    <w:abstractNumId w:val="77"/>
    <w:lvlOverride w:ilvl="0">
      <w:startOverride w:val="1"/>
    </w:lvlOverride>
  </w:num>
  <w:num w:numId="94">
    <w:abstractNumId w:val="77"/>
  </w:num>
  <w:num w:numId="95">
    <w:abstractNumId w:val="25"/>
    <w:lvlOverride w:ilvl="0">
      <w:startOverride w:val="1"/>
    </w:lvlOverride>
  </w:num>
  <w:num w:numId="96">
    <w:abstractNumId w:val="41"/>
    <w:lvlOverride w:ilvl="0">
      <w:startOverride w:val="1"/>
    </w:lvlOverride>
  </w:num>
  <w:num w:numId="97">
    <w:abstractNumId w:val="41"/>
  </w:num>
  <w:num w:numId="98">
    <w:abstractNumId w:val="50"/>
    <w:lvlOverride w:ilvl="0">
      <w:startOverride w:val="1"/>
    </w:lvlOverride>
  </w:num>
  <w:num w:numId="99">
    <w:abstractNumId w:val="50"/>
  </w:num>
  <w:num w:numId="100">
    <w:abstractNumId w:val="55"/>
    <w:lvlOverride w:ilvl="0">
      <w:startOverride w:val="1"/>
    </w:lvlOverride>
  </w:num>
  <w:num w:numId="101">
    <w:abstractNumId w:val="55"/>
  </w:num>
  <w:num w:numId="102">
    <w:abstractNumId w:val="55"/>
  </w:num>
  <w:num w:numId="103">
    <w:abstractNumId w:val="36"/>
    <w:lvlOverride w:ilvl="0">
      <w:startOverride w:val="1"/>
    </w:lvlOverride>
  </w:num>
  <w:num w:numId="104">
    <w:abstractNumId w:val="36"/>
  </w:num>
  <w:num w:numId="105">
    <w:abstractNumId w:val="29"/>
    <w:lvlOverride w:ilvl="0">
      <w:startOverride w:val="1"/>
    </w:lvlOverride>
  </w:num>
  <w:num w:numId="106">
    <w:abstractNumId w:val="29"/>
  </w:num>
  <w:num w:numId="107">
    <w:abstractNumId w:val="75"/>
    <w:lvlOverride w:ilvl="0">
      <w:startOverride w:val="1"/>
    </w:lvlOverride>
  </w:num>
  <w:num w:numId="108">
    <w:abstractNumId w:val="54"/>
    <w:lvlOverride w:ilvl="0">
      <w:startOverride w:val="1"/>
    </w:lvlOverride>
  </w:num>
  <w:num w:numId="109">
    <w:abstractNumId w:val="67"/>
    <w:lvlOverride w:ilvl="0">
      <w:startOverride w:val="1"/>
    </w:lvlOverride>
  </w:num>
  <w:num w:numId="110">
    <w:abstractNumId w:val="67"/>
  </w:num>
  <w:num w:numId="111">
    <w:abstractNumId w:val="9"/>
    <w:lvlOverride w:ilvl="0">
      <w:startOverride w:val="1"/>
    </w:lvlOverride>
  </w:num>
  <w:num w:numId="112">
    <w:abstractNumId w:val="37"/>
    <w:lvlOverride w:ilvl="0">
      <w:startOverride w:val="1"/>
    </w:lvlOverride>
  </w:num>
  <w:num w:numId="113">
    <w:abstractNumId w:val="37"/>
  </w:num>
  <w:num w:numId="114">
    <w:abstractNumId w:val="37"/>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1778"/>
    <w:rsid w:val="000F711E"/>
    <w:rsid w:val="003A4AF9"/>
    <w:rsid w:val="004373C8"/>
    <w:rsid w:val="00AB0D4E"/>
    <w:rsid w:val="00C81778"/>
    <w:rsid w:val="00D518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1040B7D-ED08-4C86-A323-22B800D176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60" w:line="259" w:lineRule="auto"/>
    </w:pPr>
  </w:style>
  <w:style w:type="paragraph" w:styleId="1">
    <w:name w:val="heading 1"/>
    <w:basedOn w:val="a1"/>
    <w:next w:val="a2"/>
    <w:link w:val="10"/>
    <w:qFormat/>
    <w:pPr>
      <w:keepNext/>
      <w:spacing w:before="240" w:after="240" w:line="240" w:lineRule="auto"/>
      <w:jc w:val="center"/>
      <w:outlineLvl w:val="0"/>
    </w:pPr>
    <w:rPr>
      <w:rFonts w:ascii="Times New Roman" w:eastAsia="Times New Roman" w:hAnsi="Times New Roman" w:cs="Times New Roman"/>
      <w:b/>
      <w:bCs/>
      <w:caps/>
      <w:sz w:val="20"/>
      <w:szCs w:val="20"/>
      <w:lang w:val="en-GB"/>
    </w:rPr>
  </w:style>
  <w:style w:type="paragraph" w:styleId="21">
    <w:name w:val="heading 2"/>
    <w:basedOn w:val="a1"/>
    <w:next w:val="a1"/>
    <w:link w:val="210"/>
    <w:unhideWhenUsed/>
    <w:qFormat/>
    <w:pPr>
      <w:keepNext/>
      <w:spacing w:before="40" w:after="40" w:line="240" w:lineRule="auto"/>
      <w:jc w:val="both"/>
      <w:outlineLvl w:val="1"/>
    </w:pPr>
    <w:rPr>
      <w:rFonts w:ascii="Times New Roman" w:eastAsia="Times New Roman" w:hAnsi="Times New Roman" w:cs="Times New Roman"/>
      <w:b/>
      <w:bCs/>
      <w:sz w:val="24"/>
      <w:szCs w:val="24"/>
      <w:lang w:eastAsia="ru-RU"/>
    </w:rPr>
  </w:style>
  <w:style w:type="paragraph" w:styleId="31">
    <w:name w:val="heading 3"/>
    <w:basedOn w:val="a1"/>
    <w:next w:val="a1"/>
    <w:unhideWhenUsed/>
    <w:qFormat/>
    <w:pPr>
      <w:keepNext/>
      <w:spacing w:before="240" w:after="60" w:line="240" w:lineRule="auto"/>
      <w:outlineLvl w:val="2"/>
    </w:pPr>
    <w:rPr>
      <w:rFonts w:ascii="Arial" w:eastAsia="Times New Roman" w:hAnsi="Arial" w:cs="Arial"/>
      <w:b/>
      <w:bCs/>
      <w:sz w:val="26"/>
      <w:szCs w:val="26"/>
      <w:lang w:eastAsia="ru-RU"/>
    </w:rPr>
  </w:style>
  <w:style w:type="paragraph" w:styleId="41">
    <w:name w:val="heading 4"/>
    <w:basedOn w:val="a1"/>
    <w:next w:val="a2"/>
    <w:link w:val="42"/>
    <w:unhideWhenUsed/>
    <w:qFormat/>
    <w:pPr>
      <w:keepNext/>
      <w:spacing w:before="240" w:after="240" w:line="240" w:lineRule="auto"/>
      <w:ind w:left="720"/>
      <w:outlineLvl w:val="3"/>
    </w:pPr>
    <w:rPr>
      <w:rFonts w:ascii="Times New Roman" w:eastAsia="Times New Roman" w:hAnsi="Times New Roman" w:cs="Times New Roman"/>
      <w:b/>
      <w:bCs/>
      <w:sz w:val="20"/>
      <w:szCs w:val="20"/>
      <w:lang w:val="en-GB"/>
    </w:rPr>
  </w:style>
  <w:style w:type="paragraph" w:styleId="51">
    <w:name w:val="heading 5"/>
    <w:basedOn w:val="a1"/>
    <w:next w:val="a2"/>
    <w:link w:val="52"/>
    <w:unhideWhenUsed/>
    <w:qFormat/>
    <w:pPr>
      <w:keepNext/>
      <w:spacing w:before="240" w:after="240" w:line="240" w:lineRule="auto"/>
      <w:outlineLvl w:val="4"/>
    </w:pPr>
    <w:rPr>
      <w:rFonts w:ascii="Times New Roman" w:eastAsia="Times New Roman" w:hAnsi="Times New Roman" w:cs="Times New Roman"/>
      <w:b/>
      <w:bCs/>
      <w:i/>
      <w:iCs/>
      <w:sz w:val="20"/>
      <w:szCs w:val="20"/>
      <w:lang w:val="en-GB"/>
    </w:rPr>
  </w:style>
  <w:style w:type="paragraph" w:styleId="6">
    <w:name w:val="heading 6"/>
    <w:basedOn w:val="a1"/>
    <w:next w:val="a2"/>
    <w:link w:val="60"/>
    <w:unhideWhenUsed/>
    <w:qFormat/>
    <w:pPr>
      <w:keepNext/>
      <w:spacing w:before="240" w:after="240" w:line="240" w:lineRule="auto"/>
      <w:ind w:left="720"/>
      <w:outlineLvl w:val="5"/>
    </w:pPr>
    <w:rPr>
      <w:rFonts w:ascii="Times New Roman" w:eastAsia="Times New Roman" w:hAnsi="Times New Roman" w:cs="Times New Roman"/>
      <w:i/>
      <w:iCs/>
      <w:sz w:val="20"/>
      <w:szCs w:val="20"/>
      <w:lang w:val="en-GB"/>
    </w:rPr>
  </w:style>
  <w:style w:type="paragraph" w:styleId="7">
    <w:name w:val="heading 7"/>
    <w:basedOn w:val="a1"/>
    <w:next w:val="a2"/>
    <w:link w:val="70"/>
    <w:unhideWhenUsed/>
    <w:qFormat/>
    <w:pPr>
      <w:spacing w:before="240" w:after="240" w:line="240" w:lineRule="auto"/>
      <w:outlineLvl w:val="6"/>
    </w:pPr>
    <w:rPr>
      <w:rFonts w:ascii="Times New Roman" w:eastAsia="Times New Roman" w:hAnsi="Times New Roman" w:cs="Times New Roman"/>
      <w:sz w:val="20"/>
      <w:szCs w:val="20"/>
      <w:lang w:val="en-GB"/>
    </w:rPr>
  </w:style>
  <w:style w:type="paragraph" w:styleId="8">
    <w:name w:val="heading 8"/>
    <w:basedOn w:val="a1"/>
    <w:next w:val="a2"/>
    <w:link w:val="80"/>
    <w:unhideWhenUsed/>
    <w:qFormat/>
    <w:pPr>
      <w:spacing w:before="240" w:after="240" w:line="240" w:lineRule="auto"/>
      <w:outlineLvl w:val="7"/>
    </w:pPr>
    <w:rPr>
      <w:rFonts w:ascii="Times New Roman" w:eastAsia="Times New Roman" w:hAnsi="Times New Roman" w:cs="Times New Roman"/>
      <w:sz w:val="20"/>
      <w:szCs w:val="20"/>
      <w:lang w:val="en-GB"/>
    </w:rPr>
  </w:style>
  <w:style w:type="paragraph" w:styleId="9">
    <w:name w:val="heading 9"/>
    <w:basedOn w:val="a1"/>
    <w:next w:val="a2"/>
    <w:link w:val="90"/>
    <w:unhideWhenUsed/>
    <w:qFormat/>
    <w:pPr>
      <w:keepNext/>
      <w:spacing w:before="240" w:after="240" w:line="240" w:lineRule="auto"/>
      <w:ind w:left="720"/>
      <w:outlineLvl w:val="8"/>
    </w:pPr>
    <w:rPr>
      <w:rFonts w:ascii="Times New Roman" w:eastAsia="Times New Roman" w:hAnsi="Times New Roman" w:cs="Times New Roman"/>
      <w:b/>
      <w:bCs/>
      <w:i/>
      <w:iCs/>
      <w:sz w:val="20"/>
      <w:szCs w:val="20"/>
      <w:lang w:val="en-GB"/>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table" w:styleId="a6">
    <w:name w:val="Table Grid"/>
    <w:uiPriority w:val="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1">
    <w:name w:val="Plain Table 1"/>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2">
    <w:name w:val="Plain Table 2"/>
    <w:uiPriority w:val="59"/>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uiPriority w:val="99"/>
    <w:tblPr>
      <w:tblStyleRowBandSize w:val="1"/>
      <w:tblStyleColBandSize w:val="1"/>
      <w:tblInd w:w="0" w:type="dxa"/>
      <w:tblCellMar>
        <w:top w:w="0" w:type="dxa"/>
        <w:left w:w="0" w:type="dxa"/>
        <w:bottom w:w="0" w:type="dxa"/>
        <w:right w:w="0"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3">
    <w:name w:val="Plain Table 4"/>
    <w:uiPriority w:val="99"/>
    <w:tblPr>
      <w:tblStyleRowBandSize w:val="1"/>
      <w:tblStyleColBandSize w:val="1"/>
      <w:tblInd w:w="0" w:type="dxa"/>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3">
    <w:name w:val="Plain Table 5"/>
    <w:uiPriority w:val="99"/>
    <w:tblPr>
      <w:tblStyleRowBandSize w:val="1"/>
      <w:tblStyleColBandSize w:val="1"/>
      <w:tblInd w:w="0" w:type="dxa"/>
      <w:tblCellMar>
        <w:top w:w="0" w:type="dxa"/>
        <w:left w:w="0" w:type="dxa"/>
        <w:bottom w:w="0" w:type="dxa"/>
        <w:right w:w="0"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uiPriority w:val="99"/>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0" w:type="dxa"/>
        <w:bottom w:w="0" w:type="dxa"/>
        <w:right w:w="0"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uiPriority w:val="99"/>
    <w:tblPr>
      <w:tblStyleRowBandSize w:val="1"/>
      <w:tblStyleColBandSize w:val="1"/>
      <w:tblInd w:w="0" w:type="dxa"/>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CellMar>
        <w:top w:w="0" w:type="dxa"/>
        <w:left w:w="0" w:type="dxa"/>
        <w:bottom w:w="0" w:type="dxa"/>
        <w:right w:w="0" w:type="dxa"/>
      </w:tblCellMar>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uiPriority w:val="99"/>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0" w:type="dxa"/>
        <w:bottom w:w="0" w:type="dxa"/>
        <w:right w:w="0"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uiPriority w:val="99"/>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0" w:type="dxa"/>
        <w:bottom w:w="0" w:type="dxa"/>
        <w:right w:w="0"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uiPriority w:val="99"/>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0" w:type="dxa"/>
        <w:bottom w:w="0" w:type="dxa"/>
        <w:right w:w="0"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uiPriority w:val="99"/>
    <w:tblPr>
      <w:tblStyleRowBandSize w:val="1"/>
      <w:tblStyleColBandSize w:val="1"/>
      <w:tblInd w:w="0" w:type="dxa"/>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CellMar>
        <w:top w:w="0" w:type="dxa"/>
        <w:left w:w="0" w:type="dxa"/>
        <w:bottom w:w="0" w:type="dxa"/>
        <w:right w:w="0" w:type="dxa"/>
      </w:tblCellMar>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uiPriority w:val="99"/>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0" w:type="dxa"/>
        <w:bottom w:w="0" w:type="dxa"/>
        <w:right w:w="0"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uiPriority w:val="99"/>
    <w:tblPr>
      <w:tblStyleRowBandSize w:val="1"/>
      <w:tblStyleColBandSize w:val="1"/>
      <w:tblInd w:w="0" w:type="dxa"/>
      <w:tblBorders>
        <w:bottom w:val="single" w:sz="4" w:space="0" w:color="537DC8" w:themeColor="accent1" w:themeTint="EA"/>
        <w:insideH w:val="single" w:sz="4" w:space="0" w:color="537DC8" w:themeColor="accent1" w:themeTint="EA"/>
        <w:insideV w:val="single" w:sz="4" w:space="0" w:color="537DC8"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uiPriority w:val="99"/>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uiPriority w:val="99"/>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uiPriority w:val="99"/>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uiPriority w:val="99"/>
    <w:tblPr>
      <w:tblStyleRowBandSize w:val="1"/>
      <w:tblStyleColBandSize w:val="1"/>
      <w:tblInd w:w="0" w:type="dxa"/>
      <w:tblBorders>
        <w:bottom w:val="single" w:sz="4" w:space="0" w:color="5B9BD5" w:themeColor="accent5"/>
        <w:insideH w:val="single" w:sz="4" w:space="0" w:color="5B9BD5" w:themeColor="accent5"/>
        <w:insideV w:val="single" w:sz="4" w:space="0" w:color="5B9BD5"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uiPriority w:val="99"/>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uiPriority w:val="99"/>
    <w:tblPr>
      <w:tblStyleRowBandSize w:val="1"/>
      <w:tblStyleColBandSize w:val="1"/>
      <w:tblInd w:w="0" w:type="dxa"/>
      <w:tblBorders>
        <w:bottom w:val="single" w:sz="4" w:space="0" w:color="537DC8" w:themeColor="accent1" w:themeTint="EA"/>
        <w:insideH w:val="single" w:sz="4" w:space="0" w:color="537DC8" w:themeColor="accent1" w:themeTint="EA"/>
        <w:insideV w:val="single" w:sz="4" w:space="0" w:color="537DC8"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uiPriority w:val="99"/>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uiPriority w:val="99"/>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uiPriority w:val="99"/>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uiPriority w:val="99"/>
    <w:tblPr>
      <w:tblStyleRowBandSize w:val="1"/>
      <w:tblStyleColBandSize w:val="1"/>
      <w:tblInd w:w="0" w:type="dxa"/>
      <w:tblBorders>
        <w:bottom w:val="single" w:sz="4" w:space="0" w:color="5B9BD5" w:themeColor="accent5"/>
        <w:insideH w:val="single" w:sz="4" w:space="0" w:color="5B9BD5" w:themeColor="accent5"/>
        <w:insideV w:val="single" w:sz="4" w:space="0" w:color="5B9BD5"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uiPriority w:val="99"/>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uiPriority w:val="59"/>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uiPriority w:val="59"/>
    <w:tblPr>
      <w:tblStyleRowBandSize w:val="1"/>
      <w:tblStyleColBandSize w:val="1"/>
      <w:tblInd w:w="0" w:type="dxa"/>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uiPriority w:val="59"/>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uiPriority w:val="59"/>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uiPriority w:val="59"/>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uiPriority w:val="59"/>
    <w:tblPr>
      <w:tblStyleRowBandSize w:val="1"/>
      <w:tblStyleColBandSize w:val="1"/>
      <w:tblInd w:w="0" w:type="dxa"/>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uiPriority w:val="59"/>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CellMar>
        <w:top w:w="0" w:type="dxa"/>
        <w:left w:w="0" w:type="dxa"/>
        <w:bottom w:w="0" w:type="dxa"/>
        <w:right w:w="0" w:type="dxa"/>
      </w:tblCellMar>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0" w:type="dxa"/>
        <w:bottom w:w="0" w:type="dxa"/>
        <w:right w:w="0"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0" w:type="dxa"/>
        <w:bottom w:w="0" w:type="dxa"/>
        <w:right w:w="0"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0" w:type="dxa"/>
        <w:bottom w:w="0" w:type="dxa"/>
        <w:right w:w="0"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CellMar>
        <w:top w:w="0" w:type="dxa"/>
        <w:left w:w="0" w:type="dxa"/>
        <w:bottom w:w="0" w:type="dxa"/>
        <w:right w:w="0" w:type="dxa"/>
      </w:tblCellMar>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0" w:type="dxa"/>
        <w:bottom w:w="0" w:type="dxa"/>
        <w:right w:w="0"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uiPriority w:val="99"/>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uiPriority w:val="99"/>
    <w:tblPr>
      <w:tblStyleRowBandSize w:val="1"/>
      <w:tblStyleColBandSize w:val="1"/>
      <w:tblInd w:w="0" w:type="dxa"/>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CellMar>
        <w:top w:w="0" w:type="dxa"/>
        <w:left w:w="0" w:type="dxa"/>
        <w:bottom w:w="0" w:type="dxa"/>
        <w:right w:w="0" w:type="dxa"/>
      </w:tblCellMar>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uiPriority w:val="99"/>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0" w:type="dxa"/>
        <w:bottom w:w="0" w:type="dxa"/>
        <w:right w:w="0"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uiPriority w:val="99"/>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0" w:type="dxa"/>
        <w:bottom w:w="0" w:type="dxa"/>
        <w:right w:w="0"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uiPriority w:val="99"/>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0" w:type="dxa"/>
        <w:bottom w:w="0" w:type="dxa"/>
        <w:right w:w="0"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uiPriority w:val="99"/>
    <w:tblPr>
      <w:tblStyleRowBandSize w:val="1"/>
      <w:tblStyleColBandSize w:val="1"/>
      <w:tblInd w:w="0" w:type="dxa"/>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CellMar>
        <w:top w:w="0" w:type="dxa"/>
        <w:left w:w="0" w:type="dxa"/>
        <w:bottom w:w="0" w:type="dxa"/>
        <w:right w:w="0" w:type="dxa"/>
      </w:tblCellMar>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uiPriority w:val="99"/>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0" w:type="dxa"/>
        <w:bottom w:w="0" w:type="dxa"/>
        <w:right w:w="0" w:type="dxa"/>
      </w:tblCellMar>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7">
    <w:name w:val="Grid Table 7 Colorful"/>
    <w:uiPriority w:val="99"/>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uiPriority w:val="99"/>
    <w:tblPr>
      <w:tblStyleRowBandSize w:val="1"/>
      <w:tblStyleColBandSize w:val="1"/>
      <w:tblInd w:w="0" w:type="dxa"/>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CellMar>
        <w:top w:w="0" w:type="dxa"/>
        <w:left w:w="0" w:type="dxa"/>
        <w:bottom w:w="0" w:type="dxa"/>
        <w:right w:w="0" w:type="dxa"/>
      </w:tblCellMar>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uiPriority w:val="99"/>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0" w:type="dxa"/>
        <w:bottom w:w="0" w:type="dxa"/>
        <w:right w:w="0"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uiPriority w:val="99"/>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0" w:type="dxa"/>
        <w:bottom w:w="0" w:type="dxa"/>
        <w:right w:w="0"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uiPriority w:val="99"/>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0" w:type="dxa"/>
        <w:bottom w:w="0" w:type="dxa"/>
        <w:right w:w="0"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uiPriority w:val="99"/>
    <w:tblPr>
      <w:tblStyleRowBandSize w:val="1"/>
      <w:tblStyleColBandSize w:val="1"/>
      <w:tblInd w:w="0" w:type="dxa"/>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CellMar>
        <w:top w:w="0" w:type="dxa"/>
        <w:left w:w="0" w:type="dxa"/>
        <w:bottom w:w="0" w:type="dxa"/>
        <w:right w:w="0" w:type="dxa"/>
      </w:tblCellMar>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uiPriority w:val="99"/>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0" w:type="dxa"/>
        <w:bottom w:w="0" w:type="dxa"/>
        <w:right w:w="0"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uiPriority w:val="99"/>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uiPriority w:val="99"/>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uiPriority w:val="99"/>
    <w:tblPr>
      <w:tblStyleRowBandSize w:val="1"/>
      <w:tblStyleColBandSize w:val="1"/>
      <w:tblInd w:w="0" w:type="dxa"/>
      <w:tblBorders>
        <w:top w:val="single" w:sz="4" w:space="0" w:color="95AFDD" w:themeColor="accent1" w:themeTint="90"/>
        <w:bottom w:val="single" w:sz="4" w:space="0" w:color="95AFDD" w:themeColor="accent1" w:themeTint="90"/>
        <w:insideH w:val="single" w:sz="4" w:space="0" w:color="95AFDD" w:themeColor="accen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uiPriority w:val="99"/>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uiPriority w:val="99"/>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uiPriority w:val="99"/>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uiPriority w:val="99"/>
    <w:tblPr>
      <w:tblStyleRowBandSize w:val="1"/>
      <w:tblStyleColBandSize w:val="1"/>
      <w:tblInd w:w="0" w:type="dxa"/>
      <w:tblBorders>
        <w:top w:val="single" w:sz="4" w:space="0" w:color="A2C6E7" w:themeColor="accent5" w:themeTint="90"/>
        <w:bottom w:val="single" w:sz="4" w:space="0" w:color="A2C6E7" w:themeColor="accent5" w:themeTint="90"/>
        <w:insideH w:val="single" w:sz="4" w:space="0" w:color="A2C6E7" w:themeColor="accent5"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uiPriority w:val="99"/>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uiPriority w:val="99"/>
    <w:tblPr>
      <w:tblStyleRowBandSize w:val="1"/>
      <w:tblStyleColBandSize w:val="1"/>
      <w:tblInd w:w="0" w:type="dxa"/>
      <w:tblBorders>
        <w:top w:val="single" w:sz="4" w:space="0" w:color="4472C4" w:themeColor="accent1"/>
        <w:left w:val="single" w:sz="4" w:space="0" w:color="4472C4" w:themeColor="accent1"/>
        <w:bottom w:val="single" w:sz="4" w:space="0" w:color="4472C4" w:themeColor="accent1"/>
        <w:right w:val="single" w:sz="4" w:space="0" w:color="4472C4" w:themeColor="accent1"/>
      </w:tblBorders>
      <w:tblCellMar>
        <w:top w:w="0" w:type="dxa"/>
        <w:left w:w="0" w:type="dxa"/>
        <w:bottom w:w="0" w:type="dxa"/>
        <w:right w:w="0" w:type="dxa"/>
      </w:tblCellMar>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uiPriority w:val="99"/>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0" w:type="dxa"/>
        <w:bottom w:w="0" w:type="dxa"/>
        <w:right w:w="0"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uiPriority w:val="99"/>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0" w:type="dxa"/>
        <w:bottom w:w="0" w:type="dxa"/>
        <w:right w:w="0"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uiPriority w:val="99"/>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0" w:type="dxa"/>
        <w:bottom w:w="0" w:type="dxa"/>
        <w:right w:w="0"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uiPriority w:val="99"/>
    <w:tblPr>
      <w:tblStyleRowBandSize w:val="1"/>
      <w:tblStyleColBandSize w:val="1"/>
      <w:tblInd w:w="0" w:type="dxa"/>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CellMar>
        <w:top w:w="0" w:type="dxa"/>
        <w:left w:w="0" w:type="dxa"/>
        <w:bottom w:w="0" w:type="dxa"/>
        <w:right w:w="0" w:type="dxa"/>
      </w:tblCellMar>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uiPriority w:val="99"/>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0" w:type="dxa"/>
        <w:bottom w:w="0" w:type="dxa"/>
        <w:right w:w="0"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uiPriority w:val="99"/>
    <w:tblPr>
      <w:tblStyleRowBandSize w:val="1"/>
      <w:tblStyleColBandSize w:val="1"/>
      <w:tblInd w:w="0" w:type="dxa"/>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CellMar>
        <w:top w:w="0" w:type="dxa"/>
        <w:left w:w="0" w:type="dxa"/>
        <w:bottom w:w="0" w:type="dxa"/>
        <w:right w:w="0" w:type="dxa"/>
      </w:tblCellMar>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uiPriority w:val="99"/>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0" w:type="dxa"/>
        <w:bottom w:w="0" w:type="dxa"/>
        <w:right w:w="0"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uiPriority w:val="99"/>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0" w:type="dxa"/>
        <w:bottom w:w="0" w:type="dxa"/>
        <w:right w:w="0"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uiPriority w:val="99"/>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0" w:type="dxa"/>
        <w:bottom w:w="0" w:type="dxa"/>
        <w:right w:w="0"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uiPriority w:val="99"/>
    <w:tblPr>
      <w:tblStyleRowBandSize w:val="1"/>
      <w:tblStyleColBandSize w:val="1"/>
      <w:tblInd w:w="0" w:type="dxa"/>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CellMar>
        <w:top w:w="0" w:type="dxa"/>
        <w:left w:w="0" w:type="dxa"/>
        <w:bottom w:w="0" w:type="dxa"/>
        <w:right w:w="0" w:type="dxa"/>
      </w:tblCellMar>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uiPriority w:val="99"/>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0" w:type="dxa"/>
        <w:bottom w:w="0" w:type="dxa"/>
        <w:right w:w="0"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uiPriority w:val="99"/>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uiPriority w:val="99"/>
    <w:tblPr>
      <w:tblStyleRowBandSize w:val="1"/>
      <w:tblStyleColBandSize w:val="1"/>
      <w:tblInd w:w="0" w:type="dxa"/>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uiPriority w:val="99"/>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uiPriority w:val="99"/>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uiPriority w:val="99"/>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uiPriority w:val="99"/>
    <w:tblPr>
      <w:tblStyleRowBandSize w:val="1"/>
      <w:tblStyleColBandSize w:val="1"/>
      <w:tblInd w:w="0" w:type="dxa"/>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uiPriority w:val="99"/>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uiPriority w:val="99"/>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0" w:type="dxa"/>
        <w:bottom w:w="0" w:type="dxa"/>
        <w:right w:w="0"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uiPriority w:val="99"/>
    <w:tblPr>
      <w:tblStyleRowBandSize w:val="1"/>
      <w:tblStyleColBandSize w:val="1"/>
      <w:tblInd w:w="0" w:type="dxa"/>
      <w:tblBorders>
        <w:top w:val="single" w:sz="4" w:space="0" w:color="4472C4" w:themeColor="accent1"/>
        <w:bottom w:val="single" w:sz="4" w:space="0" w:color="4472C4" w:themeColor="accent1"/>
      </w:tblBorders>
      <w:tblCellMar>
        <w:top w:w="0" w:type="dxa"/>
        <w:left w:w="0" w:type="dxa"/>
        <w:bottom w:w="0" w:type="dxa"/>
        <w:right w:w="0" w:type="dxa"/>
      </w:tblCellMar>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uiPriority w:val="99"/>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0" w:type="dxa"/>
        <w:bottom w:w="0" w:type="dxa"/>
        <w:right w:w="0"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uiPriority w:val="99"/>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0" w:type="dxa"/>
        <w:bottom w:w="0" w:type="dxa"/>
        <w:right w:w="0"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uiPriority w:val="99"/>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0" w:type="dxa"/>
        <w:bottom w:w="0" w:type="dxa"/>
        <w:right w:w="0"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uiPriority w:val="99"/>
    <w:tblPr>
      <w:tblStyleRowBandSize w:val="1"/>
      <w:tblStyleColBandSize w:val="1"/>
      <w:tblInd w:w="0" w:type="dxa"/>
      <w:tblBorders>
        <w:top w:val="single" w:sz="4" w:space="0" w:color="9BC2E5" w:themeColor="accent5" w:themeTint="9A"/>
        <w:bottom w:val="single" w:sz="4" w:space="0" w:color="9BC2E5" w:themeColor="accent5" w:themeTint="9A"/>
      </w:tblBorders>
      <w:tblCellMar>
        <w:top w:w="0" w:type="dxa"/>
        <w:left w:w="0" w:type="dxa"/>
        <w:bottom w:w="0" w:type="dxa"/>
        <w:right w:w="0" w:type="dxa"/>
      </w:tblCellMar>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uiPriority w:val="99"/>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0" w:type="dxa"/>
        <w:bottom w:w="0" w:type="dxa"/>
        <w:right w:w="0"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uiPriority w:val="99"/>
    <w:tblPr>
      <w:tblStyleRowBandSize w:val="1"/>
      <w:tblStyleColBandSize w:val="1"/>
      <w:tblInd w:w="0" w:type="dxa"/>
      <w:tblBorders>
        <w:right w:val="single" w:sz="4" w:space="0" w:color="7F7F7F" w:themeColor="text1" w:themeTint="80"/>
      </w:tblBorders>
      <w:tblCellMar>
        <w:top w:w="0" w:type="dxa"/>
        <w:left w:w="0" w:type="dxa"/>
        <w:bottom w:w="0" w:type="dxa"/>
        <w:right w:w="0"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uiPriority w:val="99"/>
    <w:tblPr>
      <w:tblStyleRowBandSize w:val="1"/>
      <w:tblStyleColBandSize w:val="1"/>
      <w:tblInd w:w="0" w:type="dxa"/>
      <w:tblBorders>
        <w:right w:val="single" w:sz="4" w:space="0" w:color="4472C4" w:themeColor="accent1"/>
      </w:tblBorders>
      <w:tblCellMar>
        <w:top w:w="0" w:type="dxa"/>
        <w:left w:w="0" w:type="dxa"/>
        <w:bottom w:w="0" w:type="dxa"/>
        <w:right w:w="0" w:type="dxa"/>
      </w:tblCellMar>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uiPriority w:val="99"/>
    <w:tblPr>
      <w:tblStyleRowBandSize w:val="1"/>
      <w:tblStyleColBandSize w:val="1"/>
      <w:tblInd w:w="0" w:type="dxa"/>
      <w:tblBorders>
        <w:right w:val="single" w:sz="4" w:space="0" w:color="F4B184" w:themeColor="accent2" w:themeTint="97"/>
      </w:tblBorders>
      <w:tblCellMar>
        <w:top w:w="0" w:type="dxa"/>
        <w:left w:w="0" w:type="dxa"/>
        <w:bottom w:w="0" w:type="dxa"/>
        <w:right w:w="0"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uiPriority w:val="99"/>
    <w:tblPr>
      <w:tblStyleRowBandSize w:val="1"/>
      <w:tblStyleColBandSize w:val="1"/>
      <w:tblInd w:w="0" w:type="dxa"/>
      <w:tblBorders>
        <w:right w:val="single" w:sz="4" w:space="0" w:color="C9C9C9" w:themeColor="accent3" w:themeTint="98"/>
      </w:tblBorders>
      <w:tblCellMar>
        <w:top w:w="0" w:type="dxa"/>
        <w:left w:w="0" w:type="dxa"/>
        <w:bottom w:w="0" w:type="dxa"/>
        <w:right w:w="0"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uiPriority w:val="99"/>
    <w:tblPr>
      <w:tblStyleRowBandSize w:val="1"/>
      <w:tblStyleColBandSize w:val="1"/>
      <w:tblInd w:w="0" w:type="dxa"/>
      <w:tblBorders>
        <w:right w:val="single" w:sz="4" w:space="0" w:color="FFD865" w:themeColor="accent4" w:themeTint="9A"/>
      </w:tblBorders>
      <w:tblCellMar>
        <w:top w:w="0" w:type="dxa"/>
        <w:left w:w="0" w:type="dxa"/>
        <w:bottom w:w="0" w:type="dxa"/>
        <w:right w:w="0"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uiPriority w:val="99"/>
    <w:tblPr>
      <w:tblStyleRowBandSize w:val="1"/>
      <w:tblStyleColBandSize w:val="1"/>
      <w:tblInd w:w="0" w:type="dxa"/>
      <w:tblBorders>
        <w:right w:val="single" w:sz="4" w:space="0" w:color="9BC2E5" w:themeColor="accent5" w:themeTint="9A"/>
      </w:tblBorders>
      <w:tblCellMar>
        <w:top w:w="0" w:type="dxa"/>
        <w:left w:w="0" w:type="dxa"/>
        <w:bottom w:w="0" w:type="dxa"/>
        <w:right w:w="0" w:type="dxa"/>
      </w:tblCellMar>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uiPriority w:val="99"/>
    <w:tblPr>
      <w:tblStyleRowBandSize w:val="1"/>
      <w:tblStyleColBandSize w:val="1"/>
      <w:tblInd w:w="0" w:type="dxa"/>
      <w:tblBorders>
        <w:right w:val="single" w:sz="4" w:space="0" w:color="A9D08E" w:themeColor="accent6" w:themeTint="98"/>
      </w:tblBorders>
      <w:tblCellMar>
        <w:top w:w="0" w:type="dxa"/>
        <w:left w:w="0" w:type="dxa"/>
        <w:bottom w:w="0" w:type="dxa"/>
        <w:right w:w="0"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uiPriority w:val="99"/>
    <w:rPr>
      <w:color w:val="404040"/>
      <w:sz w:val="20"/>
      <w:szCs w:val="2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uiPriority w:val="99"/>
    <w:rPr>
      <w:color w:val="404040"/>
      <w:sz w:val="20"/>
      <w:szCs w:val="2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uiPriority w:val="99"/>
    <w:rPr>
      <w:color w:val="404040"/>
      <w:sz w:val="20"/>
      <w:szCs w:val="2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uiPriority w:val="99"/>
    <w:rPr>
      <w:color w:val="404040"/>
      <w:sz w:val="20"/>
      <w:szCs w:val="2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uiPriority w:val="99"/>
    <w:rPr>
      <w:color w:val="404040"/>
      <w:sz w:val="20"/>
      <w:szCs w:val="2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uiPriority w:val="99"/>
    <w:rPr>
      <w:color w:val="404040"/>
      <w:sz w:val="20"/>
      <w:szCs w:val="2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uiPriority w:val="99"/>
    <w:rPr>
      <w:color w:val="404040"/>
      <w:sz w:val="20"/>
      <w:szCs w:val="2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uiPriority w:val="99"/>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uiPriority w:val="99"/>
    <w:rPr>
      <w:color w:val="404040"/>
      <w:sz w:val="20"/>
      <w:szCs w:val="20"/>
      <w:lang w:eastAsia="ru-RU"/>
    </w:rPr>
    <w:tblPr>
      <w:tblStyleRowBandSize w:val="1"/>
      <w:tblStyleColBandSize w:val="1"/>
      <w:tblInd w:w="0" w:type="dxa"/>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CellMar>
        <w:top w:w="0" w:type="dxa"/>
        <w:left w:w="0" w:type="dxa"/>
        <w:bottom w:w="0" w:type="dxa"/>
        <w:right w:w="0" w:type="dxa"/>
      </w:tblCellMar>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uiPriority w:val="99"/>
    <w:rPr>
      <w:color w:val="404040"/>
      <w:sz w:val="20"/>
      <w:szCs w:val="20"/>
      <w:lang w:eastAsia="ru-RU"/>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0" w:type="dxa"/>
        <w:bottom w:w="0" w:type="dxa"/>
        <w:right w:w="0"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uiPriority w:val="99"/>
    <w:rPr>
      <w:color w:val="404040"/>
      <w:sz w:val="20"/>
      <w:szCs w:val="20"/>
      <w:lang w:eastAsia="ru-RU"/>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0" w:type="dxa"/>
        <w:bottom w:w="0" w:type="dxa"/>
        <w:right w:w="0"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uiPriority w:val="99"/>
    <w:rPr>
      <w:color w:val="404040"/>
      <w:sz w:val="20"/>
      <w:szCs w:val="20"/>
      <w:lang w:eastAsia="ru-RU"/>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0" w:type="dxa"/>
        <w:bottom w:w="0" w:type="dxa"/>
        <w:right w:w="0"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uiPriority w:val="99"/>
    <w:rPr>
      <w:color w:val="404040"/>
      <w:sz w:val="20"/>
      <w:szCs w:val="20"/>
      <w:lang w:eastAsia="ru-RU"/>
    </w:rPr>
    <w:tblPr>
      <w:tblStyleRowBandSize w:val="1"/>
      <w:tblStyleColBandSize w:val="1"/>
      <w:tblInd w:w="0" w:type="dxa"/>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CellMar>
        <w:top w:w="0" w:type="dxa"/>
        <w:left w:w="0" w:type="dxa"/>
        <w:bottom w:w="0" w:type="dxa"/>
        <w:right w:w="0" w:type="dxa"/>
      </w:tblCellMar>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uiPriority w:val="99"/>
    <w:rPr>
      <w:color w:val="404040"/>
      <w:sz w:val="20"/>
      <w:szCs w:val="20"/>
      <w:lang w:eastAsia="ru-RU"/>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0" w:type="dxa"/>
        <w:bottom w:w="0" w:type="dxa"/>
        <w:right w:w="0"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uiPriority w:val="99"/>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uiPriority w:val="99"/>
    <w:tblPr>
      <w:tblStyleRowBandSize w:val="1"/>
      <w:tblStyleColBandSize w:val="1"/>
      <w:tblInd w:w="0" w:type="dxa"/>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uiPriority w:val="99"/>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uiPriority w:val="99"/>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uiPriority w:val="99"/>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uiPriority w:val="99"/>
    <w:tblPr>
      <w:tblStyleRowBandSize w:val="1"/>
      <w:tblStyleColBandSize w:val="1"/>
      <w:tblInd w:w="0" w:type="dxa"/>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uiPriority w:val="99"/>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QuoteChar">
    <w:name w:val="Quote Char"/>
    <w:uiPriority w:val="29"/>
    <w:qFormat/>
    <w:rPr>
      <w:i/>
    </w:rPr>
  </w:style>
  <w:style w:type="character" w:customStyle="1" w:styleId="IntenseQuoteChar">
    <w:name w:val="Intense Quote Char"/>
    <w:uiPriority w:val="30"/>
    <w:qFormat/>
    <w:rPr>
      <w:i/>
    </w:rPr>
  </w:style>
  <w:style w:type="character" w:customStyle="1" w:styleId="EndnoteTextChar">
    <w:name w:val="Endnote Text Char"/>
    <w:uiPriority w:val="99"/>
    <w:qFormat/>
    <w:rPr>
      <w:sz w:val="20"/>
    </w:rPr>
  </w:style>
  <w:style w:type="character" w:customStyle="1" w:styleId="Heading1Char">
    <w:name w:val="Heading 1 Char"/>
    <w:basedOn w:val="a3"/>
    <w:link w:val="110"/>
    <w:uiPriority w:val="9"/>
    <w:qFormat/>
    <w:rPr>
      <w:rFonts w:ascii="Arial" w:eastAsia="Arial" w:hAnsi="Arial" w:cs="Arial"/>
      <w:sz w:val="40"/>
      <w:szCs w:val="40"/>
    </w:rPr>
  </w:style>
  <w:style w:type="character" w:customStyle="1" w:styleId="Heading2Char">
    <w:name w:val="Heading 2 Char"/>
    <w:basedOn w:val="a3"/>
    <w:uiPriority w:val="9"/>
    <w:qFormat/>
    <w:rPr>
      <w:rFonts w:ascii="Arial" w:eastAsia="Arial" w:hAnsi="Arial" w:cs="Arial"/>
      <w:sz w:val="34"/>
    </w:rPr>
  </w:style>
  <w:style w:type="character" w:customStyle="1" w:styleId="Heading3Char">
    <w:name w:val="Heading 3 Char"/>
    <w:basedOn w:val="a3"/>
    <w:uiPriority w:val="9"/>
    <w:qFormat/>
    <w:rPr>
      <w:rFonts w:ascii="Arial" w:eastAsia="Arial" w:hAnsi="Arial" w:cs="Arial"/>
      <w:sz w:val="30"/>
      <w:szCs w:val="30"/>
    </w:rPr>
  </w:style>
  <w:style w:type="character" w:customStyle="1" w:styleId="Heading4Char">
    <w:name w:val="Heading 4 Char"/>
    <w:basedOn w:val="a3"/>
    <w:uiPriority w:val="9"/>
    <w:qFormat/>
    <w:rPr>
      <w:rFonts w:ascii="Arial" w:eastAsia="Arial" w:hAnsi="Arial" w:cs="Arial"/>
      <w:b/>
      <w:bCs/>
      <w:sz w:val="26"/>
      <w:szCs w:val="26"/>
    </w:rPr>
  </w:style>
  <w:style w:type="character" w:customStyle="1" w:styleId="Heading5Char">
    <w:name w:val="Heading 5 Char"/>
    <w:basedOn w:val="a3"/>
    <w:uiPriority w:val="9"/>
    <w:qFormat/>
    <w:rPr>
      <w:rFonts w:ascii="Arial" w:eastAsia="Arial" w:hAnsi="Arial" w:cs="Arial"/>
      <w:b/>
      <w:bCs/>
      <w:sz w:val="24"/>
      <w:szCs w:val="24"/>
    </w:rPr>
  </w:style>
  <w:style w:type="character" w:customStyle="1" w:styleId="Heading6Char">
    <w:name w:val="Heading 6 Char"/>
    <w:basedOn w:val="a3"/>
    <w:uiPriority w:val="9"/>
    <w:qFormat/>
    <w:rPr>
      <w:rFonts w:ascii="Arial" w:eastAsia="Arial" w:hAnsi="Arial" w:cs="Arial"/>
      <w:b/>
      <w:bCs/>
      <w:sz w:val="22"/>
      <w:szCs w:val="22"/>
    </w:rPr>
  </w:style>
  <w:style w:type="character" w:customStyle="1" w:styleId="Heading7Char">
    <w:name w:val="Heading 7 Char"/>
    <w:basedOn w:val="a3"/>
    <w:uiPriority w:val="9"/>
    <w:qFormat/>
    <w:rPr>
      <w:rFonts w:ascii="Arial" w:eastAsia="Arial" w:hAnsi="Arial" w:cs="Arial"/>
      <w:b/>
      <w:bCs/>
      <w:i/>
      <w:iCs/>
      <w:sz w:val="22"/>
      <w:szCs w:val="22"/>
    </w:rPr>
  </w:style>
  <w:style w:type="character" w:customStyle="1" w:styleId="Heading8Char">
    <w:name w:val="Heading 8 Char"/>
    <w:basedOn w:val="a3"/>
    <w:uiPriority w:val="9"/>
    <w:qFormat/>
    <w:rPr>
      <w:rFonts w:ascii="Arial" w:eastAsia="Arial" w:hAnsi="Arial" w:cs="Arial"/>
      <w:i/>
      <w:iCs/>
      <w:sz w:val="22"/>
      <w:szCs w:val="22"/>
    </w:rPr>
  </w:style>
  <w:style w:type="character" w:customStyle="1" w:styleId="Heading9Char">
    <w:name w:val="Heading 9 Char"/>
    <w:basedOn w:val="a3"/>
    <w:uiPriority w:val="9"/>
    <w:qFormat/>
    <w:rPr>
      <w:rFonts w:ascii="Arial" w:eastAsia="Arial" w:hAnsi="Arial" w:cs="Arial"/>
      <w:i/>
      <w:iCs/>
      <w:sz w:val="21"/>
      <w:szCs w:val="21"/>
    </w:rPr>
  </w:style>
  <w:style w:type="character" w:customStyle="1" w:styleId="TitleChar">
    <w:name w:val="Title Char"/>
    <w:basedOn w:val="a3"/>
    <w:uiPriority w:val="10"/>
    <w:qFormat/>
    <w:rPr>
      <w:sz w:val="48"/>
      <w:szCs w:val="48"/>
    </w:rPr>
  </w:style>
  <w:style w:type="character" w:customStyle="1" w:styleId="SubtitleChar">
    <w:name w:val="Subtitle Char"/>
    <w:basedOn w:val="a3"/>
    <w:uiPriority w:val="11"/>
    <w:qFormat/>
    <w:rPr>
      <w:sz w:val="24"/>
      <w:szCs w:val="24"/>
    </w:rPr>
  </w:style>
  <w:style w:type="character" w:customStyle="1" w:styleId="23">
    <w:name w:val="Цитата 2 Знак"/>
    <w:link w:val="24"/>
    <w:uiPriority w:val="29"/>
    <w:qFormat/>
    <w:rPr>
      <w:i/>
    </w:rPr>
  </w:style>
  <w:style w:type="character" w:customStyle="1" w:styleId="a7">
    <w:name w:val="Выделенная цитата Знак"/>
    <w:link w:val="a8"/>
    <w:uiPriority w:val="30"/>
    <w:qFormat/>
    <w:rPr>
      <w:i/>
    </w:rPr>
  </w:style>
  <w:style w:type="character" w:customStyle="1" w:styleId="HeaderChar">
    <w:name w:val="Header Char"/>
    <w:basedOn w:val="a3"/>
    <w:uiPriority w:val="99"/>
    <w:qFormat/>
  </w:style>
  <w:style w:type="character" w:customStyle="1" w:styleId="FooterChar">
    <w:name w:val="Footer Char"/>
    <w:basedOn w:val="a3"/>
    <w:uiPriority w:val="99"/>
    <w:qFormat/>
  </w:style>
  <w:style w:type="character" w:customStyle="1" w:styleId="CaptionChar">
    <w:name w:val="Caption Char"/>
    <w:uiPriority w:val="99"/>
    <w:qFormat/>
  </w:style>
  <w:style w:type="character" w:customStyle="1" w:styleId="FootnoteTextChar">
    <w:name w:val="Footnote Text Char"/>
    <w:uiPriority w:val="99"/>
    <w:qFormat/>
    <w:rPr>
      <w:sz w:val="18"/>
    </w:rPr>
  </w:style>
  <w:style w:type="character" w:customStyle="1" w:styleId="a9">
    <w:name w:val="Текст концевой сноски Знак"/>
    <w:link w:val="aa"/>
    <w:qFormat/>
    <w:rPr>
      <w:sz w:val="20"/>
    </w:rPr>
  </w:style>
  <w:style w:type="character" w:customStyle="1" w:styleId="ab">
    <w:name w:val="Символ концевой сноски"/>
    <w:unhideWhenUsed/>
    <w:qFormat/>
    <w:rPr>
      <w:vertAlign w:val="superscript"/>
    </w:rPr>
  </w:style>
  <w:style w:type="character" w:styleId="ac">
    <w:name w:val="endnote reference"/>
    <w:rPr>
      <w:vertAlign w:val="superscript"/>
    </w:rPr>
  </w:style>
  <w:style w:type="character" w:customStyle="1" w:styleId="ad">
    <w:name w:val="Текст сноски Знак"/>
    <w:basedOn w:val="a3"/>
    <w:link w:val="ae"/>
    <w:qFormat/>
    <w:rPr>
      <w:sz w:val="20"/>
      <w:szCs w:val="20"/>
    </w:rPr>
  </w:style>
  <w:style w:type="character" w:customStyle="1" w:styleId="af">
    <w:name w:val="Символ сноски"/>
    <w:uiPriority w:val="99"/>
    <w:unhideWhenUsed/>
    <w:qFormat/>
    <w:rPr>
      <w:vertAlign w:val="superscript"/>
    </w:rPr>
  </w:style>
  <w:style w:type="character" w:styleId="af0">
    <w:name w:val="footnote reference"/>
    <w:rPr>
      <w:vertAlign w:val="superscript"/>
    </w:rPr>
  </w:style>
  <w:style w:type="character" w:customStyle="1" w:styleId="af1">
    <w:name w:val="Абзац списка Знак"/>
    <w:basedOn w:val="a3"/>
    <w:link w:val="af2"/>
    <w:uiPriority w:val="34"/>
    <w:qFormat/>
  </w:style>
  <w:style w:type="character" w:styleId="af3">
    <w:name w:val="annotation reference"/>
    <w:basedOn w:val="a3"/>
    <w:unhideWhenUsed/>
    <w:qFormat/>
    <w:rPr>
      <w:sz w:val="16"/>
      <w:szCs w:val="16"/>
    </w:rPr>
  </w:style>
  <w:style w:type="character" w:customStyle="1" w:styleId="af4">
    <w:name w:val="Текст примечания Знак"/>
    <w:basedOn w:val="a3"/>
    <w:link w:val="af5"/>
    <w:uiPriority w:val="99"/>
    <w:qFormat/>
    <w:rPr>
      <w:sz w:val="20"/>
      <w:szCs w:val="20"/>
    </w:rPr>
  </w:style>
  <w:style w:type="character" w:customStyle="1" w:styleId="af6">
    <w:name w:val="Тема примечания Знак"/>
    <w:basedOn w:val="af4"/>
    <w:link w:val="af7"/>
    <w:qFormat/>
    <w:rPr>
      <w:b/>
      <w:bCs/>
      <w:sz w:val="20"/>
      <w:szCs w:val="20"/>
    </w:rPr>
  </w:style>
  <w:style w:type="character" w:customStyle="1" w:styleId="Subst">
    <w:name w:val="Subst"/>
    <w:uiPriority w:val="99"/>
    <w:qFormat/>
    <w:rPr>
      <w:b/>
      <w:i/>
    </w:rPr>
  </w:style>
  <w:style w:type="character" w:customStyle="1" w:styleId="10">
    <w:name w:val="Заголовок 1 Знак"/>
    <w:basedOn w:val="a3"/>
    <w:link w:val="1"/>
    <w:qFormat/>
    <w:rPr>
      <w:rFonts w:ascii="Times New Roman" w:eastAsia="Times New Roman" w:hAnsi="Times New Roman" w:cs="Times New Roman"/>
      <w:b/>
      <w:bCs/>
      <w:caps/>
      <w:sz w:val="20"/>
      <w:szCs w:val="20"/>
      <w:lang w:val="en-GB"/>
    </w:rPr>
  </w:style>
  <w:style w:type="character" w:customStyle="1" w:styleId="25">
    <w:name w:val="Заголовок 2 Знак"/>
    <w:basedOn w:val="a3"/>
    <w:qFormat/>
    <w:rPr>
      <w:rFonts w:asciiTheme="majorHAnsi" w:eastAsiaTheme="majorEastAsia" w:hAnsiTheme="majorHAnsi" w:cstheme="majorBidi"/>
      <w:color w:val="2F5496" w:themeColor="accent1" w:themeShade="BF"/>
      <w:sz w:val="26"/>
      <w:szCs w:val="26"/>
    </w:rPr>
  </w:style>
  <w:style w:type="character" w:customStyle="1" w:styleId="33">
    <w:name w:val="Заголовок 3 Знак"/>
    <w:basedOn w:val="a3"/>
    <w:qFormat/>
    <w:rPr>
      <w:rFonts w:asciiTheme="majorHAnsi" w:eastAsiaTheme="majorEastAsia" w:hAnsiTheme="majorHAnsi" w:cstheme="majorBidi"/>
      <w:color w:val="1F3763" w:themeColor="accent1" w:themeShade="7F"/>
      <w:sz w:val="24"/>
      <w:szCs w:val="24"/>
    </w:rPr>
  </w:style>
  <w:style w:type="character" w:customStyle="1" w:styleId="42">
    <w:name w:val="Заголовок 4 Знак"/>
    <w:basedOn w:val="a3"/>
    <w:link w:val="41"/>
    <w:qFormat/>
    <w:rPr>
      <w:rFonts w:ascii="Times New Roman" w:eastAsia="Times New Roman" w:hAnsi="Times New Roman" w:cs="Times New Roman"/>
      <w:b/>
      <w:bCs/>
      <w:sz w:val="20"/>
      <w:szCs w:val="20"/>
      <w:lang w:val="en-GB"/>
    </w:rPr>
  </w:style>
  <w:style w:type="character" w:customStyle="1" w:styleId="52">
    <w:name w:val="Заголовок 5 Знак"/>
    <w:basedOn w:val="a3"/>
    <w:link w:val="51"/>
    <w:qFormat/>
    <w:rPr>
      <w:rFonts w:ascii="Times New Roman" w:eastAsia="Times New Roman" w:hAnsi="Times New Roman" w:cs="Times New Roman"/>
      <w:b/>
      <w:bCs/>
      <w:i/>
      <w:iCs/>
      <w:sz w:val="20"/>
      <w:szCs w:val="20"/>
      <w:lang w:val="en-GB"/>
    </w:rPr>
  </w:style>
  <w:style w:type="character" w:customStyle="1" w:styleId="60">
    <w:name w:val="Заголовок 6 Знак"/>
    <w:basedOn w:val="a3"/>
    <w:link w:val="6"/>
    <w:qFormat/>
    <w:rPr>
      <w:rFonts w:ascii="Times New Roman" w:eastAsia="Times New Roman" w:hAnsi="Times New Roman" w:cs="Times New Roman"/>
      <w:i/>
      <w:iCs/>
      <w:sz w:val="20"/>
      <w:szCs w:val="20"/>
      <w:lang w:val="en-GB"/>
    </w:rPr>
  </w:style>
  <w:style w:type="character" w:customStyle="1" w:styleId="70">
    <w:name w:val="Заголовок 7 Знак"/>
    <w:basedOn w:val="a3"/>
    <w:link w:val="7"/>
    <w:qFormat/>
    <w:rPr>
      <w:rFonts w:ascii="Times New Roman" w:eastAsia="Times New Roman" w:hAnsi="Times New Roman" w:cs="Times New Roman"/>
      <w:sz w:val="20"/>
      <w:szCs w:val="20"/>
      <w:lang w:val="en-GB"/>
    </w:rPr>
  </w:style>
  <w:style w:type="character" w:customStyle="1" w:styleId="80">
    <w:name w:val="Заголовок 8 Знак"/>
    <w:basedOn w:val="a3"/>
    <w:link w:val="8"/>
    <w:qFormat/>
    <w:rPr>
      <w:rFonts w:ascii="Times New Roman" w:eastAsia="Times New Roman" w:hAnsi="Times New Roman" w:cs="Times New Roman"/>
      <w:sz w:val="20"/>
      <w:szCs w:val="20"/>
      <w:lang w:val="en-GB"/>
    </w:rPr>
  </w:style>
  <w:style w:type="character" w:customStyle="1" w:styleId="90">
    <w:name w:val="Заголовок 9 Знак"/>
    <w:basedOn w:val="a3"/>
    <w:link w:val="9"/>
    <w:qFormat/>
    <w:rPr>
      <w:rFonts w:ascii="Times New Roman" w:eastAsia="Times New Roman" w:hAnsi="Times New Roman" w:cs="Times New Roman"/>
      <w:b/>
      <w:bCs/>
      <w:i/>
      <w:iCs/>
      <w:sz w:val="20"/>
      <w:szCs w:val="20"/>
      <w:lang w:val="en-GB"/>
    </w:rPr>
  </w:style>
  <w:style w:type="character" w:styleId="af8">
    <w:name w:val="Hyperlink"/>
    <w:uiPriority w:val="99"/>
    <w:unhideWhenUsed/>
    <w:rPr>
      <w:color w:val="0000FF"/>
      <w:u w:val="single"/>
    </w:rPr>
  </w:style>
  <w:style w:type="character" w:styleId="af9">
    <w:name w:val="FollowedHyperlink"/>
    <w:uiPriority w:val="99"/>
    <w:unhideWhenUsed/>
    <w:rPr>
      <w:color w:val="800080"/>
      <w:u w:val="single"/>
    </w:rPr>
  </w:style>
  <w:style w:type="character" w:styleId="afa">
    <w:name w:val="Emphasis"/>
    <w:qFormat/>
    <w:rPr>
      <w:rFonts w:ascii="Arial" w:eastAsia="Times New Roman" w:hAnsi="Arial" w:cs="Arial"/>
      <w:b/>
      <w:bCs/>
      <w:sz w:val="26"/>
      <w:szCs w:val="26"/>
      <w:lang w:eastAsia="ru-RU"/>
    </w:rPr>
  </w:style>
  <w:style w:type="character" w:customStyle="1" w:styleId="afb">
    <w:name w:val="Основной текст Знак"/>
    <w:basedOn w:val="a3"/>
    <w:link w:val="a2"/>
    <w:qFormat/>
    <w:rPr>
      <w:rFonts w:ascii="Times New Roman" w:eastAsia="Times New Roman" w:hAnsi="Times New Roman" w:cs="Times New Roman"/>
      <w:sz w:val="24"/>
      <w:szCs w:val="24"/>
      <w:lang w:eastAsia="ru-RU"/>
    </w:rPr>
  </w:style>
  <w:style w:type="character" w:customStyle="1" w:styleId="210">
    <w:name w:val="Заголовок 2 Знак1"/>
    <w:link w:val="21"/>
    <w:qFormat/>
    <w:rPr>
      <w:rFonts w:ascii="Times New Roman" w:eastAsia="Times New Roman" w:hAnsi="Times New Roman" w:cs="Times New Roman"/>
      <w:b/>
      <w:bCs/>
      <w:sz w:val="24"/>
      <w:szCs w:val="24"/>
      <w:lang w:eastAsia="ru-RU"/>
    </w:rPr>
  </w:style>
  <w:style w:type="character" w:customStyle="1" w:styleId="510">
    <w:name w:val="Заголовок 5 Знак1"/>
    <w:basedOn w:val="a3"/>
    <w:semiHidden/>
    <w:qFormat/>
    <w:rPr>
      <w:rFonts w:asciiTheme="majorHAnsi" w:eastAsiaTheme="majorEastAsia" w:hAnsiTheme="majorHAnsi" w:cstheme="majorBidi"/>
      <w:color w:val="2F5496" w:themeColor="accent1" w:themeShade="BF"/>
      <w:sz w:val="24"/>
      <w:szCs w:val="24"/>
    </w:rPr>
  </w:style>
  <w:style w:type="character" w:customStyle="1" w:styleId="61">
    <w:name w:val="Заголовок 6 Знак1"/>
    <w:basedOn w:val="a3"/>
    <w:semiHidden/>
    <w:qFormat/>
    <w:rPr>
      <w:rFonts w:asciiTheme="majorHAnsi" w:eastAsiaTheme="majorEastAsia" w:hAnsiTheme="majorHAnsi" w:cstheme="majorBidi"/>
      <w:color w:val="1F3763" w:themeColor="accent1" w:themeShade="7F"/>
      <w:sz w:val="24"/>
      <w:szCs w:val="24"/>
    </w:rPr>
  </w:style>
  <w:style w:type="character" w:customStyle="1" w:styleId="afc">
    <w:name w:val="Верхний колонтитул Знак"/>
    <w:basedOn w:val="a3"/>
    <w:link w:val="afd"/>
    <w:qFormat/>
  </w:style>
  <w:style w:type="character" w:customStyle="1" w:styleId="12">
    <w:name w:val="Верхний колонтитул Знак1"/>
    <w:basedOn w:val="a3"/>
    <w:uiPriority w:val="99"/>
    <w:semiHidden/>
    <w:qFormat/>
  </w:style>
  <w:style w:type="character" w:customStyle="1" w:styleId="13">
    <w:name w:val="Нижний колонтитул Знак1"/>
    <w:link w:val="afe"/>
    <w:qFormat/>
    <w:rPr>
      <w:sz w:val="24"/>
      <w:szCs w:val="24"/>
    </w:rPr>
  </w:style>
  <w:style w:type="character" w:customStyle="1" w:styleId="aff">
    <w:name w:val="Нижний колонтитул Знак"/>
    <w:basedOn w:val="a3"/>
    <w:qFormat/>
  </w:style>
  <w:style w:type="character" w:customStyle="1" w:styleId="aff0">
    <w:name w:val="Заголовок Знак"/>
    <w:basedOn w:val="a3"/>
    <w:qFormat/>
    <w:rPr>
      <w:rFonts w:asciiTheme="majorHAnsi" w:eastAsiaTheme="majorEastAsia" w:hAnsiTheme="majorHAnsi" w:cstheme="majorBidi"/>
      <w:spacing w:val="-10"/>
      <w:sz w:val="56"/>
      <w:szCs w:val="56"/>
    </w:rPr>
  </w:style>
  <w:style w:type="character" w:customStyle="1" w:styleId="aff1">
    <w:name w:val="Прощание Знак"/>
    <w:basedOn w:val="a3"/>
    <w:link w:val="aff2"/>
    <w:qFormat/>
    <w:rPr>
      <w:lang w:val="en-GB"/>
    </w:rPr>
  </w:style>
  <w:style w:type="character" w:customStyle="1" w:styleId="14">
    <w:name w:val="Прощание Знак1"/>
    <w:basedOn w:val="a3"/>
    <w:semiHidden/>
    <w:qFormat/>
  </w:style>
  <w:style w:type="character" w:customStyle="1" w:styleId="aff3">
    <w:name w:val="Подпись Знак"/>
    <w:basedOn w:val="a3"/>
    <w:link w:val="aff4"/>
    <w:qFormat/>
    <w:rPr>
      <w:lang w:val="en-GB"/>
    </w:rPr>
  </w:style>
  <w:style w:type="character" w:customStyle="1" w:styleId="15">
    <w:name w:val="Подпись Знак1"/>
    <w:basedOn w:val="a3"/>
    <w:semiHidden/>
    <w:qFormat/>
  </w:style>
  <w:style w:type="character" w:customStyle="1" w:styleId="aff5">
    <w:name w:val="Основной текст с отступом Знак"/>
    <w:basedOn w:val="a3"/>
    <w:link w:val="aff6"/>
    <w:qFormat/>
    <w:rPr>
      <w:sz w:val="24"/>
      <w:szCs w:val="24"/>
    </w:rPr>
  </w:style>
  <w:style w:type="character" w:customStyle="1" w:styleId="16">
    <w:name w:val="Основной текст с отступом Знак1"/>
    <w:basedOn w:val="a3"/>
    <w:semiHidden/>
    <w:qFormat/>
  </w:style>
  <w:style w:type="character" w:customStyle="1" w:styleId="aff7">
    <w:name w:val="Шапка Знак"/>
    <w:basedOn w:val="a3"/>
    <w:link w:val="aff8"/>
    <w:qFormat/>
    <w:rPr>
      <w:rFonts w:ascii="Arial" w:eastAsia="Times New Roman" w:hAnsi="Arial" w:cs="Arial"/>
      <w:sz w:val="24"/>
      <w:szCs w:val="24"/>
      <w:shd w:val="clear" w:color="auto" w:fill="CCCCCC"/>
      <w:lang w:eastAsia="ru-RU"/>
    </w:rPr>
  </w:style>
  <w:style w:type="character" w:customStyle="1" w:styleId="aff9">
    <w:name w:val="Подзаголовок Знак"/>
    <w:basedOn w:val="a3"/>
    <w:link w:val="affa"/>
    <w:qFormat/>
    <w:rPr>
      <w:lang w:val="en-GB"/>
    </w:rPr>
  </w:style>
  <w:style w:type="character" w:customStyle="1" w:styleId="17">
    <w:name w:val="Подзаголовок Знак1"/>
    <w:basedOn w:val="a3"/>
    <w:qFormat/>
    <w:rPr>
      <w:rFonts w:eastAsiaTheme="minorEastAsia"/>
      <w:color w:val="5A5A5A" w:themeColor="text1" w:themeTint="A5"/>
      <w:spacing w:val="15"/>
    </w:rPr>
  </w:style>
  <w:style w:type="character" w:customStyle="1" w:styleId="affb">
    <w:name w:val="Приветствие Знак"/>
    <w:basedOn w:val="a3"/>
    <w:link w:val="affc"/>
    <w:qFormat/>
    <w:rPr>
      <w:rFonts w:ascii="Times New Roman" w:eastAsia="Times New Roman" w:hAnsi="Times New Roman" w:cs="Times New Roman"/>
      <w:sz w:val="20"/>
      <w:szCs w:val="20"/>
      <w:lang w:val="en-GB"/>
    </w:rPr>
  </w:style>
  <w:style w:type="character" w:customStyle="1" w:styleId="affd">
    <w:name w:val="Красная строка Знак"/>
    <w:basedOn w:val="afb"/>
    <w:link w:val="affe"/>
    <w:qFormat/>
    <w:rPr>
      <w:rFonts w:ascii="Times New Roman" w:eastAsia="Times New Roman" w:hAnsi="Times New Roman" w:cs="Times New Roman"/>
      <w:sz w:val="24"/>
      <w:szCs w:val="24"/>
      <w:lang w:val="en-GB" w:eastAsia="ru-RU"/>
    </w:rPr>
  </w:style>
  <w:style w:type="character" w:customStyle="1" w:styleId="18">
    <w:name w:val="Красная строка Знак1"/>
    <w:basedOn w:val="afb"/>
    <w:semiHidden/>
    <w:qFormat/>
    <w:rPr>
      <w:rFonts w:ascii="Times New Roman" w:eastAsia="Times New Roman" w:hAnsi="Times New Roman" w:cs="Times New Roman"/>
      <w:sz w:val="24"/>
      <w:szCs w:val="24"/>
      <w:lang w:eastAsia="ru-RU"/>
    </w:rPr>
  </w:style>
  <w:style w:type="character" w:customStyle="1" w:styleId="26">
    <w:name w:val="Красная строка 2 Знак"/>
    <w:basedOn w:val="aff5"/>
    <w:link w:val="27"/>
    <w:qFormat/>
    <w:rPr>
      <w:sz w:val="24"/>
      <w:szCs w:val="24"/>
      <w:lang w:val="en-GB"/>
    </w:rPr>
  </w:style>
  <w:style w:type="character" w:customStyle="1" w:styleId="211">
    <w:name w:val="Красная строка 2 Знак1"/>
    <w:basedOn w:val="16"/>
    <w:semiHidden/>
    <w:qFormat/>
  </w:style>
  <w:style w:type="character" w:customStyle="1" w:styleId="afff">
    <w:name w:val="Заголовок записки Знак"/>
    <w:basedOn w:val="a3"/>
    <w:link w:val="afff0"/>
    <w:qFormat/>
    <w:rPr>
      <w:rFonts w:ascii="Times New Roman" w:eastAsia="Times New Roman" w:hAnsi="Times New Roman" w:cs="Times New Roman"/>
      <w:sz w:val="20"/>
      <w:szCs w:val="20"/>
      <w:lang w:val="en-GB"/>
    </w:rPr>
  </w:style>
  <w:style w:type="character" w:customStyle="1" w:styleId="28">
    <w:name w:val="Основной текст 2 Знак"/>
    <w:basedOn w:val="a3"/>
    <w:link w:val="29"/>
    <w:qFormat/>
    <w:rPr>
      <w:sz w:val="24"/>
      <w:szCs w:val="24"/>
    </w:rPr>
  </w:style>
  <w:style w:type="character" w:customStyle="1" w:styleId="212">
    <w:name w:val="Основной текст 2 Знак1"/>
    <w:basedOn w:val="a3"/>
    <w:semiHidden/>
    <w:qFormat/>
  </w:style>
  <w:style w:type="character" w:customStyle="1" w:styleId="34">
    <w:name w:val="Основной текст 3 Знак"/>
    <w:basedOn w:val="a3"/>
    <w:link w:val="35"/>
    <w:qFormat/>
    <w:rPr>
      <w:sz w:val="16"/>
      <w:szCs w:val="16"/>
    </w:rPr>
  </w:style>
  <w:style w:type="character" w:customStyle="1" w:styleId="310">
    <w:name w:val="Основной текст 3 Знак1"/>
    <w:basedOn w:val="a3"/>
    <w:semiHidden/>
    <w:qFormat/>
    <w:rPr>
      <w:sz w:val="16"/>
      <w:szCs w:val="16"/>
    </w:rPr>
  </w:style>
  <w:style w:type="character" w:customStyle="1" w:styleId="2a">
    <w:name w:val="Основной текст с отступом 2 Знак"/>
    <w:basedOn w:val="a3"/>
    <w:link w:val="2b"/>
    <w:qFormat/>
    <w:rPr>
      <w:sz w:val="26"/>
      <w:szCs w:val="26"/>
    </w:rPr>
  </w:style>
  <w:style w:type="character" w:customStyle="1" w:styleId="213">
    <w:name w:val="Основной текст с отступом 2 Знак1"/>
    <w:basedOn w:val="a3"/>
    <w:semiHidden/>
    <w:qFormat/>
  </w:style>
  <w:style w:type="character" w:customStyle="1" w:styleId="36">
    <w:name w:val="Основной текст с отступом 3 Знак"/>
    <w:basedOn w:val="a3"/>
    <w:link w:val="37"/>
    <w:qFormat/>
    <w:rPr>
      <w:lang w:val="en-GB"/>
    </w:rPr>
  </w:style>
  <w:style w:type="character" w:customStyle="1" w:styleId="311">
    <w:name w:val="Основной текст с отступом 3 Знак1"/>
    <w:basedOn w:val="a3"/>
    <w:semiHidden/>
    <w:qFormat/>
    <w:rPr>
      <w:sz w:val="16"/>
      <w:szCs w:val="16"/>
    </w:rPr>
  </w:style>
  <w:style w:type="character" w:customStyle="1" w:styleId="afff1">
    <w:name w:val="Текст Знак"/>
    <w:basedOn w:val="a3"/>
    <w:link w:val="afff2"/>
    <w:qFormat/>
    <w:rPr>
      <w:rFonts w:ascii="Courier New" w:eastAsia="Times New Roman" w:hAnsi="Courier New" w:cs="Courier New"/>
      <w:sz w:val="20"/>
      <w:szCs w:val="20"/>
      <w:lang w:eastAsia="ru-RU"/>
    </w:rPr>
  </w:style>
  <w:style w:type="character" w:customStyle="1" w:styleId="afff3">
    <w:name w:val="Текст выноски Знак"/>
    <w:basedOn w:val="a3"/>
    <w:link w:val="afff4"/>
    <w:uiPriority w:val="99"/>
    <w:qFormat/>
    <w:rPr>
      <w:rFonts w:ascii="Tahoma" w:eastAsia="Times New Roman" w:hAnsi="Tahoma" w:cs="Tahoma"/>
      <w:sz w:val="16"/>
      <w:szCs w:val="16"/>
      <w:lang w:eastAsia="ru-RU"/>
    </w:rPr>
  </w:style>
  <w:style w:type="character" w:customStyle="1" w:styleId="SUBST0">
    <w:name w:val="__SUBST"/>
    <w:qFormat/>
    <w:rPr>
      <w:b/>
      <w:bCs/>
      <w:i/>
      <w:iCs/>
      <w:sz w:val="22"/>
      <w:szCs w:val="22"/>
    </w:rPr>
  </w:style>
  <w:style w:type="character" w:customStyle="1" w:styleId="news-date-time1">
    <w:name w:val="news-date-time1"/>
    <w:qFormat/>
    <w:rPr>
      <w:color w:val="486DAA"/>
    </w:rPr>
  </w:style>
  <w:style w:type="character" w:customStyle="1" w:styleId="19">
    <w:name w:val="Знак сноски1"/>
    <w:qFormat/>
    <w:rPr>
      <w:vertAlign w:val="superscript"/>
    </w:rPr>
  </w:style>
  <w:style w:type="character" w:customStyle="1" w:styleId="1a">
    <w:name w:val="Название Знак1"/>
    <w:link w:val="afff5"/>
    <w:qFormat/>
    <w:rPr>
      <w:rFonts w:ascii="Times New Roman" w:eastAsia="Times New Roman" w:hAnsi="Times New Roman" w:cs="Times New Roman"/>
      <w:b/>
      <w:bCs/>
      <w:sz w:val="20"/>
      <w:szCs w:val="20"/>
      <w:lang w:val="en-GB"/>
    </w:rPr>
  </w:style>
  <w:style w:type="character" w:customStyle="1" w:styleId="rvts48220">
    <w:name w:val="rvts48220"/>
    <w:qFormat/>
  </w:style>
  <w:style w:type="character" w:customStyle="1" w:styleId="subst1">
    <w:name w:val="subst1"/>
    <w:qFormat/>
    <w:rPr>
      <w:b/>
      <w:bCs/>
      <w:i/>
      <w:iCs/>
    </w:rPr>
  </w:style>
  <w:style w:type="character" w:customStyle="1" w:styleId="hd">
    <w:name w:val="hd Знак Знак"/>
    <w:semiHidden/>
    <w:qFormat/>
    <w:rPr>
      <w:lang w:val="ru-RU" w:eastAsia="ru-RU" w:bidi="ar-SA"/>
    </w:rPr>
  </w:style>
  <w:style w:type="character" w:customStyle="1" w:styleId="38">
    <w:name w:val="Основной текст3"/>
    <w:qFormat/>
    <w:rPr>
      <w:rFonts w:ascii="Times New Roman" w:eastAsia="Times New Roman" w:hAnsi="Times New Roman" w:cs="Times New Roman"/>
      <w:color w:val="000000"/>
      <w:spacing w:val="5"/>
      <w:sz w:val="25"/>
      <w:szCs w:val="25"/>
      <w:u w:val="none"/>
      <w:shd w:val="clear" w:color="auto" w:fill="FFFFFF"/>
      <w:lang w:val="ru-RU"/>
    </w:rPr>
  </w:style>
  <w:style w:type="character" w:customStyle="1" w:styleId="1b">
    <w:name w:val="Неразрешенное упоминание1"/>
    <w:basedOn w:val="a3"/>
    <w:uiPriority w:val="99"/>
    <w:semiHidden/>
    <w:unhideWhenUsed/>
    <w:qFormat/>
    <w:rPr>
      <w:color w:val="605E5C"/>
      <w:shd w:val="clear" w:color="auto" w:fill="E1DFDD"/>
    </w:rPr>
  </w:style>
  <w:style w:type="character" w:customStyle="1" w:styleId="cf01">
    <w:name w:val="cf01"/>
    <w:basedOn w:val="a3"/>
    <w:qFormat/>
    <w:rPr>
      <w:rFonts w:ascii="Segoe UI" w:hAnsi="Segoe UI" w:cs="Segoe UI"/>
      <w:sz w:val="18"/>
      <w:szCs w:val="18"/>
    </w:rPr>
  </w:style>
  <w:style w:type="character" w:customStyle="1" w:styleId="2c">
    <w:name w:val="Неразрешенное упоминание2"/>
    <w:basedOn w:val="a3"/>
    <w:uiPriority w:val="99"/>
    <w:semiHidden/>
    <w:unhideWhenUsed/>
    <w:qFormat/>
    <w:rPr>
      <w:color w:val="605E5C"/>
      <w:shd w:val="clear" w:color="auto" w:fill="E1DFDD"/>
    </w:rPr>
  </w:style>
  <w:style w:type="character" w:styleId="afff6">
    <w:name w:val="line number"/>
    <w:basedOn w:val="a3"/>
    <w:uiPriority w:val="99"/>
    <w:semiHidden/>
    <w:unhideWhenUsed/>
    <w:qFormat/>
  </w:style>
  <w:style w:type="character" w:customStyle="1" w:styleId="39">
    <w:name w:val="Неразрешенное упоминание3"/>
    <w:basedOn w:val="a3"/>
    <w:uiPriority w:val="99"/>
    <w:semiHidden/>
    <w:unhideWhenUsed/>
    <w:qFormat/>
    <w:rPr>
      <w:color w:val="605E5C"/>
      <w:shd w:val="clear" w:color="auto" w:fill="E1DFDD"/>
    </w:rPr>
  </w:style>
  <w:style w:type="character" w:customStyle="1" w:styleId="44">
    <w:name w:val="Неразрешенное упоминание4"/>
    <w:basedOn w:val="a3"/>
    <w:uiPriority w:val="99"/>
    <w:semiHidden/>
    <w:unhideWhenUsed/>
    <w:qFormat/>
    <w:rPr>
      <w:color w:val="605E5C"/>
      <w:shd w:val="clear" w:color="auto" w:fill="E1DFDD"/>
    </w:rPr>
  </w:style>
  <w:style w:type="character" w:customStyle="1" w:styleId="A19">
    <w:name w:val="A19"/>
    <w:uiPriority w:val="99"/>
    <w:qFormat/>
    <w:rPr>
      <w:rFonts w:cs="Myriad Pro"/>
      <w:color w:val="000000"/>
      <w:sz w:val="12"/>
      <w:szCs w:val="12"/>
    </w:rPr>
  </w:style>
  <w:style w:type="character" w:styleId="afff7">
    <w:name w:val="Strong"/>
    <w:basedOn w:val="a3"/>
    <w:qFormat/>
    <w:rPr>
      <w:b/>
      <w:bCs/>
    </w:rPr>
  </w:style>
  <w:style w:type="character" w:styleId="HTML">
    <w:name w:val="HTML Code"/>
    <w:basedOn w:val="a3"/>
    <w:uiPriority w:val="99"/>
    <w:semiHidden/>
    <w:unhideWhenUsed/>
    <w:qFormat/>
    <w:rPr>
      <w:rFonts w:ascii="Courier New" w:eastAsia="Times New Roman" w:hAnsi="Courier New" w:cs="Courier New"/>
      <w:sz w:val="20"/>
      <w:szCs w:val="20"/>
    </w:rPr>
  </w:style>
  <w:style w:type="character" w:styleId="HTML0">
    <w:name w:val="HTML Keyboard"/>
    <w:basedOn w:val="a3"/>
    <w:uiPriority w:val="99"/>
    <w:semiHidden/>
    <w:unhideWhenUsed/>
    <w:qFormat/>
    <w:rPr>
      <w:rFonts w:ascii="Courier New" w:eastAsia="Times New Roman" w:hAnsi="Courier New" w:cs="Courier New"/>
      <w:sz w:val="20"/>
      <w:szCs w:val="20"/>
    </w:rPr>
  </w:style>
  <w:style w:type="character" w:customStyle="1" w:styleId="HTML1">
    <w:name w:val="Стандартный HTML Знак"/>
    <w:basedOn w:val="a3"/>
    <w:link w:val="HTML2"/>
    <w:uiPriority w:val="99"/>
    <w:semiHidden/>
    <w:qFormat/>
    <w:rPr>
      <w:rFonts w:ascii="Courier New" w:eastAsia="Times New Roman" w:hAnsi="Courier New" w:cs="Courier New"/>
      <w:sz w:val="20"/>
      <w:szCs w:val="20"/>
      <w:lang w:eastAsia="ru-RU"/>
    </w:rPr>
  </w:style>
  <w:style w:type="character" w:styleId="HTML3">
    <w:name w:val="HTML Sample"/>
    <w:basedOn w:val="a3"/>
    <w:uiPriority w:val="99"/>
    <w:semiHidden/>
    <w:unhideWhenUsed/>
    <w:qFormat/>
    <w:rPr>
      <w:rFonts w:ascii="Courier New" w:eastAsia="Times New Roman" w:hAnsi="Courier New" w:cs="Courier New"/>
      <w:sz w:val="20"/>
      <w:szCs w:val="20"/>
    </w:rPr>
  </w:style>
  <w:style w:type="character" w:styleId="HTML4">
    <w:name w:val="HTML Typewriter"/>
    <w:basedOn w:val="a3"/>
    <w:uiPriority w:val="99"/>
    <w:semiHidden/>
    <w:unhideWhenUsed/>
    <w:qFormat/>
    <w:rPr>
      <w:rFonts w:ascii="Courier New" w:eastAsia="Times New Roman" w:hAnsi="Courier New" w:cs="Courier New"/>
      <w:sz w:val="20"/>
      <w:szCs w:val="20"/>
    </w:rPr>
  </w:style>
  <w:style w:type="character" w:customStyle="1" w:styleId="1c">
    <w:name w:val="Текст Знак1"/>
    <w:basedOn w:val="a3"/>
    <w:semiHidden/>
    <w:qFormat/>
    <w:rPr>
      <w:rFonts w:ascii="Consolas" w:hAnsi="Consolas"/>
      <w:sz w:val="21"/>
      <w:szCs w:val="21"/>
    </w:rPr>
  </w:style>
  <w:style w:type="character" w:customStyle="1" w:styleId="afff8">
    <w:name w:val="Без интервала Знак"/>
    <w:basedOn w:val="a3"/>
    <w:link w:val="afff9"/>
    <w:uiPriority w:val="1"/>
    <w:qFormat/>
  </w:style>
  <w:style w:type="character" w:customStyle="1" w:styleId="ZEBRA-">
    <w:name w:val="ZEBRA- Основной текст Знак"/>
    <w:link w:val="ZEBRA-0"/>
    <w:qFormat/>
    <w:rPr>
      <w:rFonts w:ascii="Arial" w:eastAsia="Times New Roman" w:hAnsi="Arial" w:cs="Times New Roman"/>
      <w:lang w:eastAsia="ru-RU"/>
    </w:rPr>
  </w:style>
  <w:style w:type="character" w:customStyle="1" w:styleId="textdefault">
    <w:name w:val="text_default"/>
    <w:basedOn w:val="a3"/>
    <w:qFormat/>
    <w:rPr>
      <w:rFonts w:ascii="Arial" w:hAnsi="Arial" w:cs="Arial"/>
      <w:color w:val="444444"/>
      <w:sz w:val="18"/>
      <w:szCs w:val="18"/>
    </w:rPr>
  </w:style>
  <w:style w:type="character" w:customStyle="1" w:styleId="text4">
    <w:name w:val="text_4"/>
    <w:basedOn w:val="a3"/>
    <w:qFormat/>
    <w:rPr>
      <w:rFonts w:ascii="Arial" w:hAnsi="Arial" w:cs="Arial"/>
      <w:color w:val="000000"/>
      <w:sz w:val="20"/>
      <w:szCs w:val="20"/>
    </w:rPr>
  </w:style>
  <w:style w:type="character" w:customStyle="1" w:styleId="A60">
    <w:name w:val="A6"/>
    <w:uiPriority w:val="99"/>
    <w:qFormat/>
    <w:rPr>
      <w:rFonts w:ascii="Myriad Pro" w:hAnsi="Myriad Pro" w:cs="Myriad Pro"/>
      <w:color w:val="000000"/>
    </w:rPr>
  </w:style>
  <w:style w:type="character" w:customStyle="1" w:styleId="A10">
    <w:name w:val="A10"/>
    <w:uiPriority w:val="99"/>
    <w:qFormat/>
    <w:rPr>
      <w:rFonts w:ascii="PF Agora Sans Pro" w:hAnsi="PF Agora Sans Pro" w:cs="PF Agora Sans Pro"/>
      <w:color w:val="000000"/>
      <w:sz w:val="16"/>
      <w:szCs w:val="16"/>
    </w:rPr>
  </w:style>
  <w:style w:type="character" w:customStyle="1" w:styleId="usercontent">
    <w:name w:val="usercontent"/>
    <w:basedOn w:val="a3"/>
    <w:qFormat/>
  </w:style>
  <w:style w:type="character" w:customStyle="1" w:styleId="cat-feedlink">
    <w:name w:val="cat-feedlink"/>
    <w:basedOn w:val="a3"/>
    <w:qFormat/>
  </w:style>
  <w:style w:type="character" w:customStyle="1" w:styleId="comment-author">
    <w:name w:val="comment-author"/>
    <w:basedOn w:val="a3"/>
    <w:qFormat/>
  </w:style>
  <w:style w:type="character" w:customStyle="1" w:styleId="cat-feedlink1">
    <w:name w:val="cat-feedlink1"/>
    <w:basedOn w:val="a3"/>
    <w:qFormat/>
    <w:rPr>
      <w:vanish/>
      <w:color w:val="999999"/>
    </w:rPr>
  </w:style>
  <w:style w:type="character" w:customStyle="1" w:styleId="comment-author1">
    <w:name w:val="comment-author1"/>
    <w:basedOn w:val="a3"/>
    <w:qFormat/>
    <w:rPr>
      <w:color w:val="004276"/>
    </w:rPr>
  </w:style>
  <w:style w:type="character" w:customStyle="1" w:styleId="comment-author2">
    <w:name w:val="comment-author2"/>
    <w:basedOn w:val="a3"/>
    <w:qFormat/>
    <w:rPr>
      <w:color w:val="B8240D"/>
    </w:rPr>
  </w:style>
  <w:style w:type="character" w:customStyle="1" w:styleId="header528018351">
    <w:name w:val="header_528018351"/>
    <w:basedOn w:val="a3"/>
    <w:qFormat/>
  </w:style>
  <w:style w:type="character" w:customStyle="1" w:styleId="text528018351">
    <w:name w:val="text_528018351"/>
    <w:basedOn w:val="a3"/>
    <w:qFormat/>
    <w:rPr>
      <w:rFonts w:ascii="Arial" w:hAnsi="Arial" w:cs="Arial"/>
      <w:b w:val="0"/>
      <w:bCs w:val="0"/>
      <w:i w:val="0"/>
      <w:iCs w:val="0"/>
      <w:color w:val="000000"/>
      <w:sz w:val="18"/>
      <w:szCs w:val="18"/>
    </w:rPr>
  </w:style>
  <w:style w:type="character" w:customStyle="1" w:styleId="url528018351">
    <w:name w:val="url_528018351"/>
    <w:basedOn w:val="a3"/>
    <w:qFormat/>
    <w:rPr>
      <w:rFonts w:ascii="Arial" w:hAnsi="Arial" w:cs="Arial"/>
      <w:b/>
      <w:bCs/>
      <w:i w:val="0"/>
      <w:iCs w:val="0"/>
      <w:color w:val="999999"/>
      <w:sz w:val="17"/>
      <w:szCs w:val="17"/>
    </w:rPr>
  </w:style>
  <w:style w:type="character" w:customStyle="1" w:styleId="text528018352">
    <w:name w:val="text_528018352"/>
    <w:basedOn w:val="a3"/>
    <w:qFormat/>
    <w:rPr>
      <w:rFonts w:ascii="Arial" w:hAnsi="Arial" w:cs="Arial"/>
      <w:b w:val="0"/>
      <w:bCs w:val="0"/>
      <w:i w:val="0"/>
      <w:iCs w:val="0"/>
      <w:color w:val="000000"/>
      <w:sz w:val="18"/>
      <w:szCs w:val="18"/>
    </w:rPr>
  </w:style>
  <w:style w:type="character" w:customStyle="1" w:styleId="url528018352">
    <w:name w:val="url_528018352"/>
    <w:basedOn w:val="a3"/>
    <w:qFormat/>
    <w:rPr>
      <w:rFonts w:ascii="Arial" w:hAnsi="Arial" w:cs="Arial"/>
      <w:b/>
      <w:bCs/>
      <w:i w:val="0"/>
      <w:iCs w:val="0"/>
      <w:color w:val="999999"/>
      <w:sz w:val="17"/>
      <w:szCs w:val="17"/>
    </w:rPr>
  </w:style>
  <w:style w:type="character" w:customStyle="1" w:styleId="text528018353">
    <w:name w:val="text_528018353"/>
    <w:basedOn w:val="a3"/>
    <w:qFormat/>
    <w:rPr>
      <w:rFonts w:ascii="Arial" w:hAnsi="Arial" w:cs="Arial"/>
      <w:b w:val="0"/>
      <w:bCs w:val="0"/>
      <w:i w:val="0"/>
      <w:iCs w:val="0"/>
      <w:color w:val="000000"/>
      <w:sz w:val="18"/>
      <w:szCs w:val="18"/>
    </w:rPr>
  </w:style>
  <w:style w:type="character" w:customStyle="1" w:styleId="url528018353">
    <w:name w:val="url_528018353"/>
    <w:basedOn w:val="a3"/>
    <w:qFormat/>
    <w:rPr>
      <w:rFonts w:ascii="Arial" w:hAnsi="Arial" w:cs="Arial"/>
      <w:b/>
      <w:bCs/>
      <w:i w:val="0"/>
      <w:iCs w:val="0"/>
      <w:color w:val="999999"/>
      <w:sz w:val="17"/>
      <w:szCs w:val="17"/>
    </w:rPr>
  </w:style>
  <w:style w:type="character" w:customStyle="1" w:styleId="text528018354">
    <w:name w:val="text_528018354"/>
    <w:basedOn w:val="a3"/>
    <w:qFormat/>
    <w:rPr>
      <w:rFonts w:ascii="Arial" w:hAnsi="Arial" w:cs="Arial"/>
      <w:b w:val="0"/>
      <w:bCs w:val="0"/>
      <w:i w:val="0"/>
      <w:iCs w:val="0"/>
      <w:color w:val="000000"/>
      <w:sz w:val="18"/>
      <w:szCs w:val="18"/>
    </w:rPr>
  </w:style>
  <w:style w:type="character" w:customStyle="1" w:styleId="url528018354">
    <w:name w:val="url_528018354"/>
    <w:basedOn w:val="a3"/>
    <w:qFormat/>
    <w:rPr>
      <w:rFonts w:ascii="Arial" w:hAnsi="Arial" w:cs="Arial"/>
      <w:b/>
      <w:bCs/>
      <w:i w:val="0"/>
      <w:iCs w:val="0"/>
      <w:color w:val="999999"/>
      <w:sz w:val="17"/>
      <w:szCs w:val="17"/>
    </w:rPr>
  </w:style>
  <w:style w:type="character" w:customStyle="1" w:styleId="adtips1">
    <w:name w:val="adtips1"/>
    <w:basedOn w:val="a3"/>
    <w:qFormat/>
    <w:rPr>
      <w:caps/>
      <w:vanish/>
      <w:color w:val="CCCCCC"/>
      <w:sz w:val="15"/>
      <w:szCs w:val="15"/>
    </w:rPr>
  </w:style>
  <w:style w:type="character" w:customStyle="1" w:styleId="cat-feedlink2">
    <w:name w:val="cat-feedlink2"/>
    <w:basedOn w:val="a3"/>
    <w:qFormat/>
    <w:rPr>
      <w:vanish/>
      <w:color w:val="999999"/>
    </w:rPr>
  </w:style>
  <w:style w:type="character" w:customStyle="1" w:styleId="comment-author3">
    <w:name w:val="comment-author3"/>
    <w:basedOn w:val="a3"/>
    <w:qFormat/>
    <w:rPr>
      <w:color w:val="004276"/>
    </w:rPr>
  </w:style>
  <w:style w:type="character" w:customStyle="1" w:styleId="comment-author4">
    <w:name w:val="comment-author4"/>
    <w:basedOn w:val="a3"/>
    <w:qFormat/>
    <w:rPr>
      <w:color w:val="B8240D"/>
    </w:rPr>
  </w:style>
  <w:style w:type="character" w:customStyle="1" w:styleId="sn-icon35">
    <w:name w:val="sn-icon35"/>
    <w:basedOn w:val="a3"/>
    <w:qFormat/>
  </w:style>
  <w:style w:type="character" w:customStyle="1" w:styleId="share-counter-common">
    <w:name w:val="share-counter-common"/>
    <w:basedOn w:val="a3"/>
    <w:qFormat/>
  </w:style>
  <w:style w:type="character" w:customStyle="1" w:styleId="adtips2">
    <w:name w:val="adtips2"/>
    <w:basedOn w:val="a3"/>
    <w:qFormat/>
    <w:rPr>
      <w:caps/>
      <w:vanish/>
      <w:color w:val="CCCCCC"/>
      <w:sz w:val="15"/>
      <w:szCs w:val="15"/>
    </w:rPr>
  </w:style>
  <w:style w:type="character" w:customStyle="1" w:styleId="header713543031">
    <w:name w:val="header_713543031"/>
    <w:basedOn w:val="a3"/>
    <w:qFormat/>
  </w:style>
  <w:style w:type="character" w:customStyle="1" w:styleId="text713543031">
    <w:name w:val="text_713543031"/>
    <w:basedOn w:val="a3"/>
    <w:qFormat/>
    <w:rPr>
      <w:rFonts w:ascii="Arial" w:hAnsi="Arial" w:cs="Arial"/>
      <w:b w:val="0"/>
      <w:bCs w:val="0"/>
      <w:i w:val="0"/>
      <w:iCs w:val="0"/>
      <w:color w:val="000000"/>
      <w:sz w:val="18"/>
      <w:szCs w:val="18"/>
    </w:rPr>
  </w:style>
  <w:style w:type="character" w:customStyle="1" w:styleId="url713543031">
    <w:name w:val="url_713543031"/>
    <w:basedOn w:val="a3"/>
    <w:qFormat/>
    <w:rPr>
      <w:rFonts w:ascii="Arial" w:hAnsi="Arial" w:cs="Arial"/>
      <w:b/>
      <w:bCs/>
      <w:i w:val="0"/>
      <w:iCs w:val="0"/>
      <w:color w:val="999999"/>
      <w:sz w:val="17"/>
      <w:szCs w:val="17"/>
    </w:rPr>
  </w:style>
  <w:style w:type="character" w:customStyle="1" w:styleId="text713543032">
    <w:name w:val="text_713543032"/>
    <w:basedOn w:val="a3"/>
    <w:qFormat/>
    <w:rPr>
      <w:rFonts w:ascii="Arial" w:hAnsi="Arial" w:cs="Arial"/>
      <w:b w:val="0"/>
      <w:bCs w:val="0"/>
      <w:i w:val="0"/>
      <w:iCs w:val="0"/>
      <w:color w:val="000000"/>
      <w:sz w:val="18"/>
      <w:szCs w:val="18"/>
    </w:rPr>
  </w:style>
  <w:style w:type="character" w:customStyle="1" w:styleId="url713543032">
    <w:name w:val="url_713543032"/>
    <w:basedOn w:val="a3"/>
    <w:qFormat/>
    <w:rPr>
      <w:rFonts w:ascii="Arial" w:hAnsi="Arial" w:cs="Arial"/>
      <w:b/>
      <w:bCs/>
      <w:i w:val="0"/>
      <w:iCs w:val="0"/>
      <w:color w:val="999999"/>
      <w:sz w:val="17"/>
      <w:szCs w:val="17"/>
    </w:rPr>
  </w:style>
  <w:style w:type="character" w:customStyle="1" w:styleId="text713543033">
    <w:name w:val="text_713543033"/>
    <w:basedOn w:val="a3"/>
    <w:qFormat/>
    <w:rPr>
      <w:rFonts w:ascii="Arial" w:hAnsi="Arial" w:cs="Arial"/>
      <w:b w:val="0"/>
      <w:bCs w:val="0"/>
      <w:i w:val="0"/>
      <w:iCs w:val="0"/>
      <w:color w:val="000000"/>
      <w:sz w:val="18"/>
      <w:szCs w:val="18"/>
    </w:rPr>
  </w:style>
  <w:style w:type="character" w:customStyle="1" w:styleId="url713543033">
    <w:name w:val="url_713543033"/>
    <w:basedOn w:val="a3"/>
    <w:qFormat/>
    <w:rPr>
      <w:rFonts w:ascii="Arial" w:hAnsi="Arial" w:cs="Arial"/>
      <w:b/>
      <w:bCs/>
      <w:i w:val="0"/>
      <w:iCs w:val="0"/>
      <w:color w:val="999999"/>
      <w:sz w:val="17"/>
      <w:szCs w:val="17"/>
    </w:rPr>
  </w:style>
  <w:style w:type="character" w:customStyle="1" w:styleId="text713543034">
    <w:name w:val="text_713543034"/>
    <w:basedOn w:val="a3"/>
    <w:qFormat/>
    <w:rPr>
      <w:rFonts w:ascii="Arial" w:hAnsi="Arial" w:cs="Arial"/>
      <w:b w:val="0"/>
      <w:bCs w:val="0"/>
      <w:i w:val="0"/>
      <w:iCs w:val="0"/>
      <w:color w:val="000000"/>
      <w:sz w:val="18"/>
      <w:szCs w:val="18"/>
    </w:rPr>
  </w:style>
  <w:style w:type="character" w:customStyle="1" w:styleId="url713543034">
    <w:name w:val="url_713543034"/>
    <w:basedOn w:val="a3"/>
    <w:qFormat/>
    <w:rPr>
      <w:rFonts w:ascii="Arial" w:hAnsi="Arial" w:cs="Arial"/>
      <w:b/>
      <w:bCs/>
      <w:i w:val="0"/>
      <w:iCs w:val="0"/>
      <w:color w:val="999999"/>
      <w:sz w:val="17"/>
      <w:szCs w:val="17"/>
    </w:rPr>
  </w:style>
  <w:style w:type="character" w:customStyle="1" w:styleId="z-">
    <w:name w:val="z-Начало формы Знак"/>
    <w:basedOn w:val="a3"/>
    <w:link w:val="z-0"/>
    <w:uiPriority w:val="99"/>
    <w:semiHidden/>
    <w:qFormat/>
    <w:rPr>
      <w:rFonts w:ascii="Arial" w:eastAsia="Calibri" w:hAnsi="Arial" w:cs="Arial"/>
      <w:vanish/>
      <w:sz w:val="16"/>
      <w:szCs w:val="16"/>
      <w:lang w:eastAsia="ru-RU"/>
    </w:rPr>
  </w:style>
  <w:style w:type="character" w:customStyle="1" w:styleId="z-1">
    <w:name w:val="z-Конец формы Знак"/>
    <w:basedOn w:val="a3"/>
    <w:link w:val="z-2"/>
    <w:uiPriority w:val="99"/>
    <w:semiHidden/>
    <w:qFormat/>
    <w:rPr>
      <w:rFonts w:ascii="Arial" w:eastAsia="Calibri" w:hAnsi="Arial" w:cs="Arial"/>
      <w:vanish/>
      <w:sz w:val="16"/>
      <w:szCs w:val="16"/>
      <w:lang w:eastAsia="ru-RU"/>
    </w:rPr>
  </w:style>
  <w:style w:type="character" w:customStyle="1" w:styleId="sn-icon-169">
    <w:name w:val="sn-icon-169"/>
    <w:basedOn w:val="a3"/>
    <w:qFormat/>
    <w:rPr>
      <w:sz w:val="24"/>
      <w:szCs w:val="24"/>
    </w:rPr>
  </w:style>
  <w:style w:type="character" w:customStyle="1" w:styleId="sn-label5">
    <w:name w:val="sn-label5"/>
    <w:basedOn w:val="a3"/>
    <w:qFormat/>
  </w:style>
  <w:style w:type="character" w:customStyle="1" w:styleId="small-logo3">
    <w:name w:val="small-logo3"/>
    <w:basedOn w:val="a3"/>
    <w:qFormat/>
  </w:style>
  <w:style w:type="character" w:customStyle="1" w:styleId="small-logo-icon3">
    <w:name w:val="small-logo-icon3"/>
    <w:basedOn w:val="a3"/>
    <w:qFormat/>
  </w:style>
  <w:style w:type="character" w:customStyle="1" w:styleId="sharemoreselection">
    <w:name w:val="share_more_selection"/>
    <w:basedOn w:val="a3"/>
    <w:qFormat/>
  </w:style>
  <w:style w:type="character" w:customStyle="1" w:styleId="st1">
    <w:name w:val="st1"/>
    <w:basedOn w:val="a3"/>
    <w:qFormat/>
  </w:style>
  <w:style w:type="character" w:customStyle="1" w:styleId="A18">
    <w:name w:val="A18"/>
    <w:uiPriority w:val="99"/>
    <w:qFormat/>
    <w:rPr>
      <w:rFonts w:ascii="Myriad Pro" w:hAnsi="Myriad Pro" w:cs="Myriad Pro"/>
      <w:b/>
      <w:bCs/>
      <w:color w:val="000000"/>
      <w:sz w:val="12"/>
      <w:szCs w:val="12"/>
    </w:rPr>
  </w:style>
  <w:style w:type="character" w:customStyle="1" w:styleId="A20">
    <w:name w:val="A2"/>
    <w:uiPriority w:val="99"/>
    <w:qFormat/>
    <w:rPr>
      <w:rFonts w:ascii="PT Sans" w:hAnsi="PT Sans" w:cs="PT Sans"/>
      <w:color w:val="000000"/>
      <w:sz w:val="16"/>
      <w:szCs w:val="16"/>
    </w:rPr>
  </w:style>
  <w:style w:type="character" w:customStyle="1" w:styleId="FontStyle65">
    <w:name w:val="Font Style65"/>
    <w:uiPriority w:val="99"/>
    <w:qFormat/>
    <w:rPr>
      <w:rFonts w:ascii="Times New Roman" w:hAnsi="Times New Roman" w:cs="Times New Roman"/>
      <w:sz w:val="22"/>
      <w:szCs w:val="22"/>
    </w:rPr>
  </w:style>
  <w:style w:type="character" w:customStyle="1" w:styleId="FontStyle63">
    <w:name w:val="Font Style63"/>
    <w:uiPriority w:val="99"/>
    <w:qFormat/>
    <w:rPr>
      <w:rFonts w:ascii="Times New Roman" w:hAnsi="Times New Roman" w:cs="Times New Roman"/>
      <w:b/>
      <w:bCs/>
      <w:sz w:val="22"/>
      <w:szCs w:val="22"/>
    </w:rPr>
  </w:style>
  <w:style w:type="character" w:customStyle="1" w:styleId="FontStyle13">
    <w:name w:val="Font Style13"/>
    <w:basedOn w:val="a3"/>
    <w:uiPriority w:val="99"/>
    <w:qFormat/>
    <w:rPr>
      <w:rFonts w:ascii="Arial Narrow" w:hAnsi="Arial Narrow" w:cs="Arial Narrow"/>
      <w:sz w:val="16"/>
      <w:szCs w:val="16"/>
    </w:rPr>
  </w:style>
  <w:style w:type="character" w:styleId="afffa">
    <w:name w:val="page number"/>
    <w:basedOn w:val="a3"/>
    <w:qFormat/>
  </w:style>
  <w:style w:type="character" w:customStyle="1" w:styleId="100">
    <w:name w:val="Знак Знак10"/>
    <w:semiHidden/>
    <w:qFormat/>
    <w:rPr>
      <w:lang w:val="ru-RU" w:eastAsia="ru-RU" w:bidi="ar-SA"/>
    </w:rPr>
  </w:style>
  <w:style w:type="character" w:customStyle="1" w:styleId="3a">
    <w:name w:val="Знак Знак3"/>
    <w:qFormat/>
    <w:rPr>
      <w:sz w:val="24"/>
      <w:szCs w:val="24"/>
      <w:lang w:val="ru-RU" w:eastAsia="ru-RU" w:bidi="ar-SA"/>
    </w:rPr>
  </w:style>
  <w:style w:type="character" w:customStyle="1" w:styleId="hd1">
    <w:name w:val="hd Знак Знак1"/>
    <w:semiHidden/>
    <w:qFormat/>
    <w:rPr>
      <w:lang w:val="ru-RU" w:eastAsia="ru-RU" w:bidi="ar-SA"/>
    </w:rPr>
  </w:style>
  <w:style w:type="character" w:customStyle="1" w:styleId="130">
    <w:name w:val="Знак Знак13"/>
    <w:qFormat/>
    <w:rPr>
      <w:b/>
      <w:bCs/>
      <w:lang w:val="en-GB" w:eastAsia="en-US"/>
    </w:rPr>
  </w:style>
  <w:style w:type="character" w:customStyle="1" w:styleId="91">
    <w:name w:val="Знак Знак9"/>
    <w:qFormat/>
    <w:rPr>
      <w:sz w:val="24"/>
      <w:szCs w:val="24"/>
    </w:rPr>
  </w:style>
  <w:style w:type="character" w:customStyle="1" w:styleId="81">
    <w:name w:val="Знак Знак8"/>
    <w:basedOn w:val="a3"/>
    <w:qFormat/>
  </w:style>
  <w:style w:type="character" w:customStyle="1" w:styleId="62">
    <w:name w:val="Знак Знак6"/>
    <w:basedOn w:val="a3"/>
    <w:qFormat/>
  </w:style>
  <w:style w:type="character" w:customStyle="1" w:styleId="afffb">
    <w:name w:val="Íèæíèé êîëîíòèòóë Çíàê Знак"/>
    <w:qFormat/>
    <w:rPr>
      <w:sz w:val="24"/>
      <w:szCs w:val="24"/>
    </w:rPr>
  </w:style>
  <w:style w:type="character" w:customStyle="1" w:styleId="FontStyle12">
    <w:name w:val="Font Style12"/>
    <w:qFormat/>
    <w:rPr>
      <w:rFonts w:ascii="Times New Roman" w:hAnsi="Times New Roman" w:cs="Times New Roman"/>
      <w:sz w:val="26"/>
      <w:szCs w:val="26"/>
    </w:rPr>
  </w:style>
  <w:style w:type="character" w:customStyle="1" w:styleId="1d">
    <w:name w:val="Гиперссылка1"/>
    <w:basedOn w:val="a3"/>
    <w:uiPriority w:val="99"/>
    <w:semiHidden/>
    <w:unhideWhenUsed/>
    <w:qFormat/>
    <w:rPr>
      <w:color w:val="0000FF"/>
      <w:u w:val="single"/>
    </w:rPr>
  </w:style>
  <w:style w:type="character" w:customStyle="1" w:styleId="1e">
    <w:name w:val="Просмотренная гиперссылка1"/>
    <w:basedOn w:val="a3"/>
    <w:uiPriority w:val="99"/>
    <w:unhideWhenUsed/>
    <w:qFormat/>
    <w:rPr>
      <w:color w:val="800080"/>
      <w:u w:val="single"/>
    </w:rPr>
  </w:style>
  <w:style w:type="character" w:customStyle="1" w:styleId="71">
    <w:name w:val="Заголовок 7 Знак1"/>
    <w:basedOn w:val="a3"/>
    <w:uiPriority w:val="9"/>
    <w:semiHidden/>
    <w:qFormat/>
    <w:rPr>
      <w:rFonts w:asciiTheme="majorHAnsi" w:eastAsiaTheme="majorEastAsia" w:hAnsiTheme="majorHAnsi" w:cstheme="majorBidi"/>
      <w:i/>
      <w:iCs/>
      <w:color w:val="1F3763" w:themeColor="accent1" w:themeShade="7F"/>
    </w:rPr>
  </w:style>
  <w:style w:type="character" w:customStyle="1" w:styleId="FontStyle14">
    <w:name w:val="Font Style14"/>
    <w:basedOn w:val="a3"/>
    <w:uiPriority w:val="99"/>
    <w:qFormat/>
    <w:rPr>
      <w:rFonts w:ascii="Arial Narrow" w:hAnsi="Arial Narrow" w:cs="Arial Narrow"/>
      <w:spacing w:val="10"/>
      <w:sz w:val="30"/>
      <w:szCs w:val="30"/>
    </w:rPr>
  </w:style>
  <w:style w:type="character" w:customStyle="1" w:styleId="111">
    <w:name w:val="Знак Знак11"/>
    <w:basedOn w:val="a3"/>
    <w:uiPriority w:val="99"/>
    <w:unhideWhenUsed/>
    <w:qFormat/>
    <w:rPr>
      <w:color w:val="0000FF"/>
      <w:u w:val="single"/>
    </w:rPr>
  </w:style>
  <w:style w:type="character" w:customStyle="1" w:styleId="afffc">
    <w:name w:val="Название Знак"/>
    <w:link w:val="2d"/>
    <w:qFormat/>
    <w:rPr>
      <w:b/>
      <w:bCs/>
      <w:lang w:val="en-GB"/>
    </w:rPr>
  </w:style>
  <w:style w:type="character" w:customStyle="1" w:styleId="afffd">
    <w:name w:val="Таблица Знак"/>
    <w:basedOn w:val="a3"/>
    <w:link w:val="afffe"/>
    <w:qFormat/>
    <w:rPr>
      <w:rFonts w:ascii="Times New Roman" w:eastAsia="Times New Roman" w:hAnsi="Times New Roman" w:cs="Times New Roman"/>
      <w:sz w:val="24"/>
      <w:szCs w:val="24"/>
      <w:lang w:eastAsia="ru-RU"/>
    </w:rPr>
  </w:style>
  <w:style w:type="character" w:customStyle="1" w:styleId="220">
    <w:name w:val="Заголовок 2 Знак2"/>
    <w:basedOn w:val="a3"/>
    <w:uiPriority w:val="9"/>
    <w:semiHidden/>
    <w:qFormat/>
    <w:rPr>
      <w:rFonts w:ascii="Calibri Light" w:eastAsia="Times New Roman" w:hAnsi="Calibri Light" w:cs="Times New Roman"/>
      <w:color w:val="2E74B5"/>
      <w:sz w:val="26"/>
      <w:szCs w:val="26"/>
    </w:rPr>
  </w:style>
  <w:style w:type="character" w:customStyle="1" w:styleId="72">
    <w:name w:val="Заголовок 7 Знак2"/>
    <w:basedOn w:val="a3"/>
    <w:uiPriority w:val="9"/>
    <w:semiHidden/>
    <w:qFormat/>
    <w:rPr>
      <w:rFonts w:ascii="Calibri Light" w:eastAsia="Times New Roman" w:hAnsi="Calibri Light" w:cs="Times New Roman"/>
      <w:i/>
      <w:iCs/>
      <w:color w:val="1F4D78"/>
    </w:rPr>
  </w:style>
  <w:style w:type="character" w:customStyle="1" w:styleId="affff">
    <w:name w:val="Нет"/>
    <w:qFormat/>
  </w:style>
  <w:style w:type="character" w:customStyle="1" w:styleId="FontStyle85">
    <w:name w:val="Font Style85"/>
    <w:uiPriority w:val="99"/>
    <w:qFormat/>
    <w:rPr>
      <w:rFonts w:ascii="Arial" w:hAnsi="Arial" w:cs="Arial"/>
      <w:sz w:val="22"/>
      <w:szCs w:val="22"/>
    </w:rPr>
  </w:style>
  <w:style w:type="character" w:customStyle="1" w:styleId="A14">
    <w:name w:val="A14"/>
    <w:uiPriority w:val="99"/>
    <w:qFormat/>
    <w:rPr>
      <w:rFonts w:ascii="HeliosC" w:hAnsi="HeliosC" w:cs="HeliosC"/>
      <w:b/>
      <w:bCs/>
      <w:color w:val="000000"/>
      <w:sz w:val="9"/>
      <w:szCs w:val="9"/>
    </w:rPr>
  </w:style>
  <w:style w:type="character" w:customStyle="1" w:styleId="text">
    <w:name w:val="text Знак Знак"/>
    <w:link w:val="text0"/>
    <w:qFormat/>
    <w:rPr>
      <w:rFonts w:ascii="Times New Roman" w:eastAsia="Times New Roman" w:hAnsi="Times New Roman" w:cs="Times New Roman"/>
      <w:sz w:val="24"/>
      <w:szCs w:val="24"/>
    </w:rPr>
  </w:style>
  <w:style w:type="character" w:customStyle="1" w:styleId="54">
    <w:name w:val="Неразрешенное упоминание5"/>
    <w:basedOn w:val="a3"/>
    <w:uiPriority w:val="99"/>
    <w:semiHidden/>
    <w:unhideWhenUsed/>
    <w:qFormat/>
    <w:rPr>
      <w:color w:val="605E5C"/>
      <w:shd w:val="clear" w:color="auto" w:fill="E1DFDD"/>
    </w:rPr>
  </w:style>
  <w:style w:type="character" w:customStyle="1" w:styleId="63">
    <w:name w:val="Неразрешенное упоминание6"/>
    <w:basedOn w:val="a3"/>
    <w:uiPriority w:val="99"/>
    <w:semiHidden/>
    <w:unhideWhenUsed/>
    <w:qFormat/>
    <w:rPr>
      <w:color w:val="605E5C"/>
      <w:shd w:val="clear" w:color="auto" w:fill="E1DFDD"/>
    </w:rPr>
  </w:style>
  <w:style w:type="character" w:customStyle="1" w:styleId="A00">
    <w:name w:val="A0"/>
    <w:uiPriority w:val="99"/>
    <w:qFormat/>
    <w:rPr>
      <w:rFonts w:cs="Gilroy"/>
      <w:b/>
      <w:bCs/>
      <w:color w:val="000000"/>
      <w:sz w:val="36"/>
      <w:szCs w:val="36"/>
    </w:rPr>
  </w:style>
  <w:style w:type="character" w:customStyle="1" w:styleId="defaultdocbaseattributestylewithoutnowrap1">
    <w:name w:val="defaultdocbaseattributestylewithoutnowrap1"/>
    <w:qFormat/>
    <w:rPr>
      <w:rFonts w:ascii="Tahoma" w:hAnsi="Tahoma" w:cs="Tahoma"/>
      <w:sz w:val="18"/>
      <w:szCs w:val="18"/>
    </w:rPr>
  </w:style>
  <w:style w:type="character" w:customStyle="1" w:styleId="1110">
    <w:name w:val="Знак Знак111"/>
    <w:basedOn w:val="a3"/>
    <w:uiPriority w:val="99"/>
    <w:unhideWhenUsed/>
    <w:qFormat/>
    <w:rPr>
      <w:color w:val="0000FF"/>
      <w:u w:val="single"/>
    </w:rPr>
  </w:style>
  <w:style w:type="character" w:customStyle="1" w:styleId="230">
    <w:name w:val="Заголовок 2 Знак3"/>
    <w:basedOn w:val="a3"/>
    <w:uiPriority w:val="9"/>
    <w:semiHidden/>
    <w:qFormat/>
    <w:rPr>
      <w:rFonts w:ascii="Calibri Light" w:eastAsia="Times New Roman" w:hAnsi="Calibri Light" w:cs="Times New Roman"/>
      <w:color w:val="2E74B5"/>
      <w:sz w:val="26"/>
      <w:szCs w:val="26"/>
    </w:rPr>
  </w:style>
  <w:style w:type="character" w:customStyle="1" w:styleId="73">
    <w:name w:val="Заголовок 7 Знак3"/>
    <w:basedOn w:val="a3"/>
    <w:uiPriority w:val="9"/>
    <w:semiHidden/>
    <w:qFormat/>
    <w:rPr>
      <w:rFonts w:ascii="Calibri Light" w:eastAsia="Times New Roman" w:hAnsi="Calibri Light" w:cs="Times New Roman"/>
      <w:i/>
      <w:iCs/>
      <w:color w:val="1F4D78"/>
    </w:rPr>
  </w:style>
  <w:style w:type="character" w:customStyle="1" w:styleId="1f">
    <w:name w:val="Текст примечания Знак1"/>
    <w:basedOn w:val="a3"/>
    <w:uiPriority w:val="99"/>
    <w:semiHidden/>
    <w:qFormat/>
    <w:rPr>
      <w:sz w:val="20"/>
      <w:szCs w:val="20"/>
    </w:rPr>
  </w:style>
  <w:style w:type="character" w:customStyle="1" w:styleId="1f0">
    <w:name w:val="Тема примечания Знак1"/>
    <w:basedOn w:val="1f"/>
    <w:uiPriority w:val="99"/>
    <w:semiHidden/>
    <w:qFormat/>
    <w:rPr>
      <w:b/>
      <w:bCs/>
      <w:sz w:val="20"/>
      <w:szCs w:val="20"/>
    </w:rPr>
  </w:style>
  <w:style w:type="character" w:customStyle="1" w:styleId="1f1">
    <w:name w:val="Текст выноски Знак1"/>
    <w:basedOn w:val="a3"/>
    <w:uiPriority w:val="99"/>
    <w:semiHidden/>
    <w:qFormat/>
    <w:rPr>
      <w:rFonts w:ascii="Segoe UI" w:hAnsi="Segoe UI" w:cs="Segoe UI"/>
      <w:sz w:val="18"/>
      <w:szCs w:val="18"/>
    </w:rPr>
  </w:style>
  <w:style w:type="character" w:customStyle="1" w:styleId="UnresolvedMention">
    <w:name w:val="Unresolved Mention"/>
    <w:basedOn w:val="a3"/>
    <w:uiPriority w:val="99"/>
    <w:semiHidden/>
    <w:unhideWhenUsed/>
    <w:qFormat/>
    <w:rPr>
      <w:color w:val="605E5C"/>
      <w:shd w:val="clear" w:color="auto" w:fill="E1DFDD"/>
    </w:rPr>
  </w:style>
  <w:style w:type="character" w:customStyle="1" w:styleId="74">
    <w:name w:val="Неразрешенное упоминание7"/>
    <w:basedOn w:val="a3"/>
    <w:uiPriority w:val="99"/>
    <w:semiHidden/>
    <w:unhideWhenUsed/>
    <w:qFormat/>
    <w:rPr>
      <w:color w:val="605E5C"/>
      <w:shd w:val="clear" w:color="auto" w:fill="E1DFDD"/>
    </w:rPr>
  </w:style>
  <w:style w:type="character" w:customStyle="1" w:styleId="affff0">
    <w:name w:val="Ссылка указателя"/>
    <w:qFormat/>
  </w:style>
  <w:style w:type="paragraph" w:customStyle="1" w:styleId="affff1">
    <w:name w:val="Заголовок"/>
    <w:basedOn w:val="a1"/>
    <w:next w:val="a2"/>
    <w:qFormat/>
    <w:pPr>
      <w:keepNext/>
      <w:spacing w:before="240" w:after="120"/>
    </w:pPr>
    <w:rPr>
      <w:rFonts w:ascii="Open Sans" w:eastAsia="WenQuanYi Micro Hei" w:hAnsi="Open Sans" w:cs="Lohit Devanagari"/>
      <w:sz w:val="28"/>
      <w:szCs w:val="28"/>
    </w:rPr>
  </w:style>
  <w:style w:type="paragraph" w:styleId="a2">
    <w:name w:val="Body Text"/>
    <w:basedOn w:val="a1"/>
    <w:link w:val="afb"/>
    <w:unhideWhenUsed/>
    <w:pPr>
      <w:spacing w:after="120" w:line="240" w:lineRule="auto"/>
    </w:pPr>
    <w:rPr>
      <w:rFonts w:ascii="Times New Roman" w:eastAsia="Times New Roman" w:hAnsi="Times New Roman" w:cs="Times New Roman"/>
      <w:sz w:val="24"/>
      <w:szCs w:val="24"/>
      <w:lang w:eastAsia="ru-RU"/>
    </w:rPr>
  </w:style>
  <w:style w:type="paragraph" w:styleId="affff2">
    <w:name w:val="List"/>
    <w:basedOn w:val="a1"/>
    <w:unhideWhenUsed/>
    <w:pPr>
      <w:spacing w:before="240" w:after="240" w:line="240" w:lineRule="auto"/>
      <w:ind w:left="720" w:hanging="720"/>
    </w:pPr>
    <w:rPr>
      <w:rFonts w:ascii="Times New Roman" w:eastAsia="Times New Roman" w:hAnsi="Times New Roman" w:cs="Times New Roman"/>
      <w:sz w:val="20"/>
      <w:szCs w:val="20"/>
      <w:lang w:val="en-GB"/>
    </w:rPr>
  </w:style>
  <w:style w:type="paragraph" w:styleId="affff3">
    <w:name w:val="caption"/>
    <w:basedOn w:val="a1"/>
    <w:qFormat/>
    <w:pPr>
      <w:suppressLineNumbers/>
      <w:spacing w:before="120" w:after="120"/>
    </w:pPr>
    <w:rPr>
      <w:rFonts w:cs="Lohit Devanagari"/>
      <w:i/>
      <w:iCs/>
      <w:sz w:val="24"/>
      <w:szCs w:val="24"/>
    </w:rPr>
  </w:style>
  <w:style w:type="paragraph" w:styleId="affff4">
    <w:name w:val="index heading"/>
    <w:basedOn w:val="affff1"/>
  </w:style>
  <w:style w:type="paragraph" w:styleId="afff9">
    <w:name w:val="No Spacing"/>
    <w:link w:val="afff8"/>
    <w:uiPriority w:val="1"/>
    <w:qFormat/>
  </w:style>
  <w:style w:type="paragraph" w:styleId="24">
    <w:name w:val="Quote"/>
    <w:basedOn w:val="a1"/>
    <w:next w:val="a1"/>
    <w:link w:val="23"/>
    <w:uiPriority w:val="29"/>
    <w:qFormat/>
    <w:pPr>
      <w:ind w:left="720" w:right="720"/>
    </w:pPr>
    <w:rPr>
      <w:i/>
    </w:rPr>
  </w:style>
  <w:style w:type="paragraph" w:styleId="a8">
    <w:name w:val="Intense Quote"/>
    <w:basedOn w:val="a1"/>
    <w:next w:val="a1"/>
    <w:link w:val="a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paragraph" w:customStyle="1" w:styleId="caption1">
    <w:name w:val="caption1"/>
    <w:basedOn w:val="a1"/>
    <w:next w:val="a1"/>
    <w:uiPriority w:val="35"/>
    <w:semiHidden/>
    <w:unhideWhenUsed/>
    <w:qFormat/>
    <w:pPr>
      <w:spacing w:line="276" w:lineRule="auto"/>
    </w:pPr>
    <w:rPr>
      <w:b/>
      <w:bCs/>
      <w:color w:val="4472C4" w:themeColor="accent1"/>
      <w:sz w:val="18"/>
      <w:szCs w:val="18"/>
    </w:rPr>
  </w:style>
  <w:style w:type="paragraph" w:styleId="aa">
    <w:name w:val="endnote text"/>
    <w:basedOn w:val="a1"/>
    <w:link w:val="a9"/>
    <w:unhideWhenUsed/>
    <w:pPr>
      <w:spacing w:after="0" w:line="240" w:lineRule="auto"/>
    </w:pPr>
    <w:rPr>
      <w:sz w:val="20"/>
    </w:rPr>
  </w:style>
  <w:style w:type="paragraph" w:styleId="45">
    <w:name w:val="toc 4"/>
    <w:basedOn w:val="a1"/>
    <w:next w:val="a1"/>
    <w:uiPriority w:val="39"/>
    <w:unhideWhenUsed/>
    <w:pPr>
      <w:spacing w:after="57"/>
      <w:ind w:left="850"/>
    </w:pPr>
  </w:style>
  <w:style w:type="paragraph" w:styleId="55">
    <w:name w:val="toc 5"/>
    <w:basedOn w:val="a1"/>
    <w:next w:val="a1"/>
    <w:uiPriority w:val="39"/>
    <w:unhideWhenUsed/>
    <w:pPr>
      <w:spacing w:after="57"/>
      <w:ind w:left="1134"/>
    </w:pPr>
  </w:style>
  <w:style w:type="paragraph" w:styleId="64">
    <w:name w:val="toc 6"/>
    <w:basedOn w:val="a1"/>
    <w:next w:val="a1"/>
    <w:uiPriority w:val="39"/>
    <w:unhideWhenUsed/>
    <w:pPr>
      <w:spacing w:after="57"/>
      <w:ind w:left="1417"/>
    </w:pPr>
  </w:style>
  <w:style w:type="paragraph" w:styleId="75">
    <w:name w:val="toc 7"/>
    <w:basedOn w:val="a1"/>
    <w:next w:val="a1"/>
    <w:uiPriority w:val="39"/>
    <w:unhideWhenUsed/>
    <w:pPr>
      <w:spacing w:after="57"/>
      <w:ind w:left="1701"/>
    </w:pPr>
  </w:style>
  <w:style w:type="paragraph" w:styleId="82">
    <w:name w:val="toc 8"/>
    <w:basedOn w:val="a1"/>
    <w:next w:val="a1"/>
    <w:uiPriority w:val="39"/>
    <w:unhideWhenUsed/>
    <w:pPr>
      <w:spacing w:after="57"/>
      <w:ind w:left="1984"/>
    </w:pPr>
  </w:style>
  <w:style w:type="paragraph" w:styleId="92">
    <w:name w:val="toc 9"/>
    <w:basedOn w:val="a1"/>
    <w:next w:val="a1"/>
    <w:uiPriority w:val="39"/>
    <w:unhideWhenUsed/>
    <w:pPr>
      <w:spacing w:after="57"/>
      <w:ind w:left="2268"/>
    </w:pPr>
  </w:style>
  <w:style w:type="paragraph" w:styleId="affff5">
    <w:name w:val="table of figures"/>
    <w:basedOn w:val="a1"/>
    <w:next w:val="a1"/>
    <w:uiPriority w:val="99"/>
    <w:unhideWhenUsed/>
    <w:pPr>
      <w:spacing w:after="0"/>
    </w:pPr>
  </w:style>
  <w:style w:type="paragraph" w:styleId="af2">
    <w:name w:val="List Paragraph"/>
    <w:basedOn w:val="a1"/>
    <w:link w:val="af1"/>
    <w:uiPriority w:val="34"/>
    <w:qFormat/>
    <w:pPr>
      <w:ind w:left="720"/>
      <w:contextualSpacing/>
    </w:pPr>
  </w:style>
  <w:style w:type="paragraph" w:styleId="ae">
    <w:name w:val="footnote text"/>
    <w:basedOn w:val="a1"/>
    <w:link w:val="ad"/>
    <w:unhideWhenUsed/>
    <w:qFormat/>
    <w:pPr>
      <w:spacing w:after="0" w:line="240" w:lineRule="auto"/>
    </w:pPr>
    <w:rPr>
      <w:sz w:val="20"/>
      <w:szCs w:val="20"/>
    </w:rPr>
  </w:style>
  <w:style w:type="paragraph" w:styleId="af5">
    <w:name w:val="annotation text"/>
    <w:basedOn w:val="a1"/>
    <w:link w:val="af4"/>
    <w:uiPriority w:val="99"/>
    <w:unhideWhenUsed/>
    <w:qFormat/>
    <w:pPr>
      <w:spacing w:line="240" w:lineRule="auto"/>
    </w:pPr>
    <w:rPr>
      <w:sz w:val="20"/>
      <w:szCs w:val="20"/>
    </w:rPr>
  </w:style>
  <w:style w:type="paragraph" w:styleId="af7">
    <w:name w:val="annotation subject"/>
    <w:basedOn w:val="af5"/>
    <w:next w:val="af5"/>
    <w:link w:val="af6"/>
    <w:unhideWhenUsed/>
    <w:qFormat/>
    <w:rPr>
      <w:b/>
      <w:bCs/>
    </w:rPr>
  </w:style>
  <w:style w:type="paragraph" w:customStyle="1" w:styleId="msonormal0">
    <w:name w:val="msonormal"/>
    <w:basedOn w:val="a1"/>
    <w:uiPriority w:val="99"/>
    <w:qFormat/>
    <w:pPr>
      <w:spacing w:after="0" w:line="240" w:lineRule="auto"/>
    </w:pPr>
    <w:rPr>
      <w:rFonts w:ascii="Times New Roman" w:eastAsia="Times New Roman" w:hAnsi="Times New Roman" w:cs="Times New Roman"/>
      <w:sz w:val="24"/>
      <w:szCs w:val="24"/>
      <w:lang w:eastAsia="ru-RU"/>
    </w:rPr>
  </w:style>
  <w:style w:type="paragraph" w:styleId="affff6">
    <w:name w:val="Normal (Web)"/>
    <w:basedOn w:val="a1"/>
    <w:uiPriority w:val="99"/>
    <w:unhideWhenUsed/>
    <w:qFormat/>
    <w:pPr>
      <w:spacing w:after="0" w:line="240" w:lineRule="auto"/>
    </w:pPr>
    <w:rPr>
      <w:rFonts w:ascii="Times New Roman" w:eastAsia="Times New Roman" w:hAnsi="Times New Roman" w:cs="Times New Roman"/>
      <w:sz w:val="24"/>
      <w:szCs w:val="24"/>
      <w:lang w:eastAsia="ru-RU"/>
    </w:rPr>
  </w:style>
  <w:style w:type="paragraph" w:styleId="1f2">
    <w:name w:val="index 1"/>
    <w:basedOn w:val="a1"/>
    <w:unhideWhenUsed/>
    <w:qFormat/>
    <w:pPr>
      <w:spacing w:after="0" w:line="240" w:lineRule="auto"/>
      <w:ind w:left="360" w:hanging="360"/>
    </w:pPr>
    <w:rPr>
      <w:rFonts w:ascii="Times New Roman" w:eastAsia="Times New Roman" w:hAnsi="Times New Roman" w:cs="Times New Roman"/>
      <w:sz w:val="20"/>
      <w:szCs w:val="20"/>
      <w:lang w:val="en-GB"/>
    </w:rPr>
  </w:style>
  <w:style w:type="paragraph" w:styleId="1f3">
    <w:name w:val="toc 1"/>
    <w:basedOn w:val="a1"/>
    <w:next w:val="a1"/>
    <w:uiPriority w:val="39"/>
    <w:unhideWhenUsed/>
    <w:qFormat/>
    <w:pPr>
      <w:tabs>
        <w:tab w:val="right" w:leader="dot" w:pos="0"/>
        <w:tab w:val="left" w:pos="9072"/>
      </w:tabs>
      <w:spacing w:after="0" w:line="240" w:lineRule="auto"/>
      <w:ind w:right="-1"/>
      <w:jc w:val="both"/>
    </w:pPr>
    <w:rPr>
      <w:rFonts w:eastAsiaTheme="majorEastAsia" w:cstheme="minorHAnsi"/>
      <w:lang w:eastAsia="ru-RU"/>
    </w:rPr>
  </w:style>
  <w:style w:type="paragraph" w:styleId="affff7">
    <w:name w:val="Normal Indent"/>
    <w:basedOn w:val="a1"/>
    <w:unhideWhenUsed/>
    <w:qFormat/>
    <w:pPr>
      <w:spacing w:after="120" w:line="240" w:lineRule="auto"/>
      <w:ind w:left="1304"/>
    </w:pPr>
    <w:rPr>
      <w:rFonts w:ascii="Arial" w:eastAsia="Times New Roman" w:hAnsi="Arial" w:cs="Times New Roman"/>
      <w:sz w:val="20"/>
      <w:szCs w:val="20"/>
      <w:lang w:val="en-US"/>
    </w:rPr>
  </w:style>
  <w:style w:type="paragraph" w:customStyle="1" w:styleId="affff8">
    <w:name w:val="Колонтитул"/>
    <w:basedOn w:val="a1"/>
    <w:qFormat/>
  </w:style>
  <w:style w:type="paragraph" w:styleId="afd">
    <w:name w:val="header"/>
    <w:basedOn w:val="a1"/>
    <w:link w:val="afc"/>
    <w:unhideWhenUsed/>
    <w:pPr>
      <w:tabs>
        <w:tab w:val="center" w:pos="4153"/>
        <w:tab w:val="right" w:pos="8306"/>
      </w:tabs>
      <w:spacing w:after="0" w:line="240" w:lineRule="auto"/>
    </w:pPr>
  </w:style>
  <w:style w:type="paragraph" w:styleId="afe">
    <w:name w:val="footer"/>
    <w:basedOn w:val="a1"/>
    <w:link w:val="13"/>
    <w:unhideWhenUsed/>
    <w:pPr>
      <w:tabs>
        <w:tab w:val="center" w:pos="4677"/>
        <w:tab w:val="right" w:pos="9355"/>
      </w:tabs>
      <w:spacing w:after="0" w:line="240" w:lineRule="auto"/>
    </w:pPr>
    <w:rPr>
      <w:sz w:val="24"/>
      <w:szCs w:val="24"/>
    </w:rPr>
  </w:style>
  <w:style w:type="paragraph" w:styleId="affff9">
    <w:name w:val="envelope address"/>
    <w:basedOn w:val="a1"/>
    <w:unhideWhenUsed/>
    <w:qFormat/>
    <w:pPr>
      <w:spacing w:after="0" w:line="240" w:lineRule="auto"/>
      <w:ind w:left="2880"/>
    </w:pPr>
    <w:rPr>
      <w:rFonts w:ascii="Times New Roman" w:eastAsia="Times New Roman" w:hAnsi="Times New Roman" w:cs="Times New Roman"/>
      <w:sz w:val="20"/>
      <w:szCs w:val="20"/>
      <w:lang w:val="en-GB"/>
    </w:rPr>
  </w:style>
  <w:style w:type="paragraph" w:styleId="2e">
    <w:name w:val="envelope return"/>
    <w:basedOn w:val="a1"/>
    <w:unhideWhenUsed/>
    <w:qFormat/>
    <w:pPr>
      <w:spacing w:after="0" w:line="240" w:lineRule="auto"/>
    </w:pPr>
    <w:rPr>
      <w:rFonts w:ascii="Times New Roman" w:eastAsia="Times New Roman" w:hAnsi="Times New Roman" w:cs="Times New Roman"/>
      <w:sz w:val="20"/>
      <w:szCs w:val="20"/>
      <w:lang w:val="en-GB"/>
    </w:rPr>
  </w:style>
  <w:style w:type="paragraph" w:styleId="a0">
    <w:name w:val="List Bullet"/>
    <w:basedOn w:val="a1"/>
    <w:unhideWhenUsed/>
    <w:pPr>
      <w:numPr>
        <w:numId w:val="1"/>
      </w:numPr>
      <w:tabs>
        <w:tab w:val="left" w:pos="720"/>
      </w:tabs>
      <w:spacing w:before="240" w:after="240" w:line="240" w:lineRule="auto"/>
      <w:ind w:left="720" w:hanging="720"/>
    </w:pPr>
    <w:rPr>
      <w:rFonts w:ascii="Times New Roman" w:eastAsia="Times New Roman" w:hAnsi="Times New Roman" w:cs="Times New Roman"/>
      <w:sz w:val="20"/>
      <w:szCs w:val="20"/>
      <w:lang w:val="en-GB"/>
    </w:rPr>
  </w:style>
  <w:style w:type="paragraph" w:styleId="a">
    <w:name w:val="List Number"/>
    <w:basedOn w:val="a1"/>
    <w:unhideWhenUsed/>
    <w:pPr>
      <w:numPr>
        <w:numId w:val="2"/>
      </w:numPr>
      <w:tabs>
        <w:tab w:val="left" w:pos="720"/>
      </w:tabs>
      <w:spacing w:before="240" w:after="240" w:line="240" w:lineRule="auto"/>
      <w:ind w:left="720"/>
    </w:pPr>
    <w:rPr>
      <w:rFonts w:ascii="Times New Roman" w:eastAsia="Times New Roman" w:hAnsi="Times New Roman" w:cs="Times New Roman"/>
      <w:sz w:val="20"/>
      <w:szCs w:val="20"/>
      <w:lang w:val="en-GB"/>
    </w:rPr>
  </w:style>
  <w:style w:type="paragraph" w:styleId="2f">
    <w:name w:val="List 2"/>
    <w:basedOn w:val="a1"/>
    <w:unhideWhenUsed/>
    <w:qFormat/>
    <w:pPr>
      <w:spacing w:before="240" w:after="240" w:line="240" w:lineRule="auto"/>
      <w:ind w:left="960" w:hanging="240"/>
    </w:pPr>
    <w:rPr>
      <w:rFonts w:ascii="Times New Roman" w:eastAsia="Times New Roman" w:hAnsi="Times New Roman" w:cs="Times New Roman"/>
      <w:sz w:val="20"/>
      <w:szCs w:val="20"/>
      <w:lang w:val="en-GB"/>
    </w:rPr>
  </w:style>
  <w:style w:type="paragraph" w:styleId="3b">
    <w:name w:val="List 3"/>
    <w:basedOn w:val="a1"/>
    <w:unhideWhenUsed/>
    <w:qFormat/>
    <w:pPr>
      <w:spacing w:before="240" w:after="240" w:line="240" w:lineRule="auto"/>
      <w:ind w:left="2160" w:hanging="720"/>
    </w:pPr>
    <w:rPr>
      <w:rFonts w:ascii="Times New Roman" w:eastAsia="Times New Roman" w:hAnsi="Times New Roman" w:cs="Times New Roman"/>
      <w:sz w:val="20"/>
      <w:szCs w:val="20"/>
      <w:lang w:val="en-GB"/>
    </w:rPr>
  </w:style>
  <w:style w:type="paragraph" w:styleId="46">
    <w:name w:val="List 4"/>
    <w:basedOn w:val="a1"/>
    <w:unhideWhenUsed/>
    <w:qFormat/>
    <w:pPr>
      <w:spacing w:before="240" w:after="240" w:line="240" w:lineRule="auto"/>
      <w:ind w:left="2880" w:hanging="720"/>
    </w:pPr>
    <w:rPr>
      <w:rFonts w:ascii="Times New Roman" w:eastAsia="Times New Roman" w:hAnsi="Times New Roman" w:cs="Times New Roman"/>
      <w:sz w:val="20"/>
      <w:szCs w:val="20"/>
      <w:lang w:val="en-GB"/>
    </w:rPr>
  </w:style>
  <w:style w:type="paragraph" w:styleId="56">
    <w:name w:val="List 5"/>
    <w:basedOn w:val="a1"/>
    <w:unhideWhenUsed/>
    <w:qFormat/>
    <w:pPr>
      <w:spacing w:before="240" w:after="240" w:line="240" w:lineRule="auto"/>
      <w:ind w:left="1800" w:hanging="360"/>
    </w:pPr>
    <w:rPr>
      <w:rFonts w:ascii="Times New Roman" w:eastAsia="Times New Roman" w:hAnsi="Times New Roman" w:cs="Times New Roman"/>
      <w:sz w:val="20"/>
      <w:szCs w:val="20"/>
      <w:lang w:val="en-GB"/>
    </w:rPr>
  </w:style>
  <w:style w:type="paragraph" w:styleId="2">
    <w:name w:val="List Bullet 2"/>
    <w:basedOn w:val="a1"/>
    <w:unhideWhenUsed/>
    <w:pPr>
      <w:numPr>
        <w:numId w:val="3"/>
      </w:numPr>
      <w:tabs>
        <w:tab w:val="left" w:pos="420"/>
        <w:tab w:val="left" w:pos="1440"/>
      </w:tabs>
      <w:spacing w:before="240" w:after="240" w:line="240" w:lineRule="auto"/>
      <w:ind w:left="1440"/>
    </w:pPr>
    <w:rPr>
      <w:rFonts w:ascii="Times New Roman" w:eastAsia="Times New Roman" w:hAnsi="Times New Roman" w:cs="Times New Roman"/>
      <w:sz w:val="20"/>
      <w:szCs w:val="20"/>
      <w:lang w:val="en-GB"/>
    </w:rPr>
  </w:style>
  <w:style w:type="paragraph" w:styleId="3">
    <w:name w:val="List Bullet 3"/>
    <w:basedOn w:val="a1"/>
    <w:unhideWhenUsed/>
    <w:pPr>
      <w:numPr>
        <w:numId w:val="4"/>
      </w:numPr>
      <w:tabs>
        <w:tab w:val="left" w:pos="720"/>
        <w:tab w:val="left" w:pos="2160"/>
      </w:tabs>
      <w:spacing w:before="240" w:after="240" w:line="240" w:lineRule="auto"/>
      <w:ind w:left="2160" w:hanging="720"/>
    </w:pPr>
    <w:rPr>
      <w:rFonts w:ascii="Times New Roman" w:eastAsia="Times New Roman" w:hAnsi="Times New Roman" w:cs="Times New Roman"/>
      <w:sz w:val="20"/>
      <w:szCs w:val="20"/>
      <w:lang w:val="en-GB"/>
    </w:rPr>
  </w:style>
  <w:style w:type="paragraph" w:styleId="40">
    <w:name w:val="List Bullet 4"/>
    <w:basedOn w:val="a1"/>
    <w:unhideWhenUsed/>
    <w:pPr>
      <w:numPr>
        <w:numId w:val="5"/>
      </w:numPr>
      <w:tabs>
        <w:tab w:val="left" w:pos="1108"/>
        <w:tab w:val="left" w:pos="2880"/>
      </w:tabs>
      <w:spacing w:before="240" w:after="240" w:line="240" w:lineRule="auto"/>
      <w:ind w:left="2880" w:hanging="720"/>
    </w:pPr>
    <w:rPr>
      <w:rFonts w:ascii="Times New Roman" w:eastAsia="Times New Roman" w:hAnsi="Times New Roman" w:cs="Times New Roman"/>
      <w:sz w:val="20"/>
      <w:szCs w:val="20"/>
      <w:lang w:val="en-GB"/>
    </w:rPr>
  </w:style>
  <w:style w:type="paragraph" w:styleId="5">
    <w:name w:val="List Bullet 5"/>
    <w:basedOn w:val="a1"/>
    <w:unhideWhenUsed/>
    <w:pPr>
      <w:numPr>
        <w:numId w:val="6"/>
      </w:numPr>
      <w:tabs>
        <w:tab w:val="left" w:pos="2210"/>
        <w:tab w:val="left" w:pos="3600"/>
      </w:tabs>
      <w:spacing w:before="240" w:after="240" w:line="240" w:lineRule="auto"/>
      <w:ind w:left="3600" w:hanging="720"/>
    </w:pPr>
    <w:rPr>
      <w:rFonts w:ascii="Times New Roman" w:eastAsia="Times New Roman" w:hAnsi="Times New Roman" w:cs="Times New Roman"/>
      <w:sz w:val="20"/>
      <w:szCs w:val="20"/>
      <w:lang w:val="en-GB"/>
    </w:rPr>
  </w:style>
  <w:style w:type="paragraph" w:styleId="20">
    <w:name w:val="List Number 2"/>
    <w:basedOn w:val="a1"/>
    <w:unhideWhenUsed/>
    <w:pPr>
      <w:numPr>
        <w:numId w:val="7"/>
      </w:numPr>
      <w:tabs>
        <w:tab w:val="left" w:pos="1440"/>
      </w:tabs>
      <w:spacing w:before="240" w:after="240" w:line="240" w:lineRule="auto"/>
      <w:ind w:left="1440" w:hanging="720"/>
    </w:pPr>
    <w:rPr>
      <w:rFonts w:ascii="Times New Roman" w:eastAsia="Times New Roman" w:hAnsi="Times New Roman" w:cs="Times New Roman"/>
      <w:sz w:val="20"/>
      <w:szCs w:val="20"/>
      <w:lang w:val="en-GB"/>
    </w:rPr>
  </w:style>
  <w:style w:type="paragraph" w:styleId="30">
    <w:name w:val="List Number 3"/>
    <w:basedOn w:val="a1"/>
    <w:unhideWhenUsed/>
    <w:pPr>
      <w:numPr>
        <w:numId w:val="8"/>
      </w:numPr>
      <w:tabs>
        <w:tab w:val="left" w:pos="720"/>
        <w:tab w:val="left" w:pos="2160"/>
      </w:tabs>
      <w:spacing w:before="240" w:after="240" w:line="240" w:lineRule="auto"/>
      <w:ind w:left="2160" w:hanging="720"/>
    </w:pPr>
    <w:rPr>
      <w:rFonts w:ascii="Times New Roman" w:eastAsia="Times New Roman" w:hAnsi="Times New Roman" w:cs="Times New Roman"/>
      <w:sz w:val="20"/>
      <w:szCs w:val="20"/>
      <w:lang w:val="en-GB"/>
    </w:rPr>
  </w:style>
  <w:style w:type="paragraph" w:styleId="4">
    <w:name w:val="List Number 4"/>
    <w:basedOn w:val="a1"/>
    <w:unhideWhenUsed/>
    <w:pPr>
      <w:numPr>
        <w:numId w:val="9"/>
      </w:numPr>
      <w:tabs>
        <w:tab w:val="left" w:pos="720"/>
      </w:tabs>
      <w:spacing w:before="240" w:after="240" w:line="240" w:lineRule="auto"/>
      <w:ind w:left="720"/>
    </w:pPr>
    <w:rPr>
      <w:rFonts w:ascii="Times New Roman" w:eastAsia="Times New Roman" w:hAnsi="Times New Roman" w:cs="Times New Roman"/>
      <w:sz w:val="20"/>
      <w:szCs w:val="20"/>
      <w:lang w:val="en-GB"/>
    </w:rPr>
  </w:style>
  <w:style w:type="paragraph" w:styleId="50">
    <w:name w:val="List Number 5"/>
    <w:basedOn w:val="a1"/>
    <w:unhideWhenUsed/>
    <w:pPr>
      <w:numPr>
        <w:numId w:val="10"/>
      </w:numPr>
      <w:tabs>
        <w:tab w:val="left" w:pos="720"/>
      </w:tabs>
      <w:spacing w:before="240" w:after="240" w:line="240" w:lineRule="auto"/>
      <w:ind w:left="720"/>
    </w:pPr>
    <w:rPr>
      <w:rFonts w:ascii="Times New Roman" w:eastAsia="Times New Roman" w:hAnsi="Times New Roman" w:cs="Times New Roman"/>
      <w:sz w:val="20"/>
      <w:szCs w:val="20"/>
      <w:lang w:val="en-GB"/>
    </w:rPr>
  </w:style>
  <w:style w:type="paragraph" w:styleId="afff5">
    <w:name w:val="Title"/>
    <w:basedOn w:val="a1"/>
    <w:next w:val="a1"/>
    <w:link w:val="1a"/>
    <w:qFormat/>
    <w:pPr>
      <w:spacing w:after="0" w:line="240" w:lineRule="auto"/>
      <w:contextualSpacing/>
    </w:pPr>
    <w:rPr>
      <w:rFonts w:ascii="Times New Roman" w:eastAsia="Times New Roman" w:hAnsi="Times New Roman" w:cs="Times New Roman"/>
      <w:b/>
      <w:bCs/>
      <w:sz w:val="20"/>
      <w:szCs w:val="20"/>
      <w:lang w:val="en-GB"/>
    </w:rPr>
  </w:style>
  <w:style w:type="paragraph" w:styleId="aff2">
    <w:name w:val="Closing"/>
    <w:basedOn w:val="a1"/>
    <w:link w:val="aff1"/>
    <w:unhideWhenUsed/>
    <w:pPr>
      <w:keepLines/>
      <w:tabs>
        <w:tab w:val="left" w:pos="4752"/>
        <w:tab w:val="right" w:pos="8640"/>
      </w:tabs>
      <w:spacing w:before="480" w:after="480" w:line="240" w:lineRule="auto"/>
      <w:ind w:left="4320"/>
    </w:pPr>
    <w:rPr>
      <w:lang w:val="en-GB"/>
    </w:rPr>
  </w:style>
  <w:style w:type="paragraph" w:styleId="aff4">
    <w:name w:val="Signature"/>
    <w:basedOn w:val="a1"/>
    <w:link w:val="aff3"/>
    <w:unhideWhenUsed/>
    <w:pPr>
      <w:keepLines/>
      <w:tabs>
        <w:tab w:val="left" w:pos="4752"/>
        <w:tab w:val="right" w:pos="8640"/>
      </w:tabs>
      <w:spacing w:before="480" w:after="480" w:line="240" w:lineRule="auto"/>
      <w:ind w:left="4320"/>
    </w:pPr>
    <w:rPr>
      <w:lang w:val="en-GB"/>
    </w:rPr>
  </w:style>
  <w:style w:type="paragraph" w:styleId="aff6">
    <w:name w:val="Body Text Indent"/>
    <w:basedOn w:val="a1"/>
    <w:link w:val="aff5"/>
    <w:unhideWhenUsed/>
    <w:pPr>
      <w:spacing w:after="120" w:line="240" w:lineRule="auto"/>
      <w:ind w:left="283"/>
    </w:pPr>
    <w:rPr>
      <w:sz w:val="24"/>
      <w:szCs w:val="24"/>
    </w:rPr>
  </w:style>
  <w:style w:type="paragraph" w:styleId="affffa">
    <w:name w:val="List Continue"/>
    <w:basedOn w:val="a1"/>
    <w:unhideWhenUsed/>
    <w:pPr>
      <w:spacing w:before="240" w:after="240" w:line="240" w:lineRule="auto"/>
      <w:ind w:left="360"/>
    </w:pPr>
    <w:rPr>
      <w:rFonts w:ascii="Times New Roman" w:eastAsia="Times New Roman" w:hAnsi="Times New Roman" w:cs="Times New Roman"/>
      <w:sz w:val="20"/>
      <w:szCs w:val="20"/>
      <w:lang w:val="en-GB"/>
    </w:rPr>
  </w:style>
  <w:style w:type="paragraph" w:styleId="2f0">
    <w:name w:val="List Continue 2"/>
    <w:basedOn w:val="a1"/>
    <w:unhideWhenUsed/>
    <w:pPr>
      <w:spacing w:before="240" w:after="240" w:line="240" w:lineRule="auto"/>
      <w:ind w:left="720"/>
    </w:pPr>
    <w:rPr>
      <w:rFonts w:ascii="Times New Roman" w:eastAsia="Times New Roman" w:hAnsi="Times New Roman" w:cs="Times New Roman"/>
      <w:sz w:val="20"/>
      <w:szCs w:val="20"/>
      <w:lang w:val="en-GB"/>
    </w:rPr>
  </w:style>
  <w:style w:type="paragraph" w:styleId="3c">
    <w:name w:val="List Continue 3"/>
    <w:basedOn w:val="a1"/>
    <w:unhideWhenUsed/>
    <w:pPr>
      <w:spacing w:before="240" w:after="240" w:line="240" w:lineRule="auto"/>
      <w:ind w:left="1080"/>
    </w:pPr>
    <w:rPr>
      <w:rFonts w:ascii="Times New Roman" w:eastAsia="Times New Roman" w:hAnsi="Times New Roman" w:cs="Times New Roman"/>
      <w:sz w:val="20"/>
      <w:szCs w:val="20"/>
      <w:lang w:val="en-GB"/>
    </w:rPr>
  </w:style>
  <w:style w:type="paragraph" w:styleId="47">
    <w:name w:val="List Continue 4"/>
    <w:basedOn w:val="a1"/>
    <w:unhideWhenUsed/>
    <w:pPr>
      <w:spacing w:before="240" w:after="240" w:line="240" w:lineRule="auto"/>
      <w:ind w:left="1440"/>
    </w:pPr>
    <w:rPr>
      <w:rFonts w:ascii="Times New Roman" w:eastAsia="Times New Roman" w:hAnsi="Times New Roman" w:cs="Times New Roman"/>
      <w:sz w:val="20"/>
      <w:szCs w:val="20"/>
      <w:lang w:val="en-GB"/>
    </w:rPr>
  </w:style>
  <w:style w:type="paragraph" w:styleId="57">
    <w:name w:val="List Continue 5"/>
    <w:basedOn w:val="a1"/>
    <w:unhideWhenUsed/>
    <w:pPr>
      <w:spacing w:before="240" w:after="240" w:line="240" w:lineRule="auto"/>
      <w:ind w:left="1800"/>
    </w:pPr>
    <w:rPr>
      <w:rFonts w:ascii="Times New Roman" w:eastAsia="Times New Roman" w:hAnsi="Times New Roman" w:cs="Times New Roman"/>
      <w:sz w:val="20"/>
      <w:szCs w:val="20"/>
      <w:lang w:val="en-GB"/>
    </w:rPr>
  </w:style>
  <w:style w:type="paragraph" w:styleId="aff8">
    <w:name w:val="Message Header"/>
    <w:basedOn w:val="a1"/>
    <w:link w:val="aff7"/>
    <w:unhideWhenUsed/>
    <w:qFormat/>
    <w:pPr>
      <w:pBdr>
        <w:top w:val="single" w:sz="6" w:space="1" w:color="000000"/>
        <w:left w:val="single" w:sz="6" w:space="1" w:color="000000"/>
        <w:bottom w:val="single" w:sz="6" w:space="1" w:color="000000"/>
        <w:right w:val="single" w:sz="6" w:space="1" w:color="000000"/>
      </w:pBdr>
      <w:shd w:val="pct20" w:color="auto" w:fill="auto"/>
      <w:spacing w:after="0" w:line="240" w:lineRule="auto"/>
      <w:ind w:left="1134" w:hanging="1134"/>
    </w:pPr>
    <w:rPr>
      <w:rFonts w:ascii="Arial" w:eastAsia="Times New Roman" w:hAnsi="Arial" w:cs="Arial"/>
      <w:sz w:val="24"/>
      <w:szCs w:val="24"/>
      <w:lang w:eastAsia="ru-RU"/>
    </w:rPr>
  </w:style>
  <w:style w:type="paragraph" w:styleId="affa">
    <w:name w:val="Subtitle"/>
    <w:basedOn w:val="a1"/>
    <w:next w:val="a2"/>
    <w:link w:val="aff9"/>
    <w:qFormat/>
    <w:pPr>
      <w:keepNext/>
      <w:spacing w:before="240" w:after="240" w:line="240" w:lineRule="auto"/>
      <w:jc w:val="center"/>
    </w:pPr>
    <w:rPr>
      <w:lang w:val="en-GB"/>
    </w:rPr>
  </w:style>
  <w:style w:type="paragraph" w:styleId="affc">
    <w:name w:val="Salutation"/>
    <w:basedOn w:val="a1"/>
    <w:next w:val="a1"/>
    <w:link w:val="affb"/>
    <w:unhideWhenUsed/>
    <w:pPr>
      <w:spacing w:after="0" w:line="240" w:lineRule="auto"/>
    </w:pPr>
    <w:rPr>
      <w:rFonts w:ascii="Times New Roman" w:eastAsia="Times New Roman" w:hAnsi="Times New Roman" w:cs="Times New Roman"/>
      <w:sz w:val="20"/>
      <w:szCs w:val="20"/>
      <w:lang w:val="en-GB"/>
    </w:rPr>
  </w:style>
  <w:style w:type="paragraph" w:styleId="affe">
    <w:name w:val="Body Text First Indent"/>
    <w:basedOn w:val="a2"/>
    <w:link w:val="affd"/>
    <w:unhideWhenUsed/>
    <w:pPr>
      <w:spacing w:before="240" w:after="240"/>
      <w:ind w:left="720" w:firstLine="720"/>
    </w:pPr>
    <w:rPr>
      <w:lang w:val="en-GB"/>
    </w:rPr>
  </w:style>
  <w:style w:type="paragraph" w:styleId="27">
    <w:name w:val="Body Text First Indent 2"/>
    <w:basedOn w:val="a2"/>
    <w:link w:val="26"/>
    <w:unhideWhenUsed/>
    <w:qFormat/>
    <w:pPr>
      <w:spacing w:before="240" w:after="0" w:line="480" w:lineRule="auto"/>
      <w:ind w:left="720" w:firstLine="720"/>
    </w:pPr>
    <w:rPr>
      <w:rFonts w:asciiTheme="minorHAnsi" w:eastAsiaTheme="minorHAnsi" w:hAnsiTheme="minorHAnsi" w:cstheme="minorBidi"/>
      <w:lang w:val="en-GB" w:eastAsia="en-US"/>
    </w:rPr>
  </w:style>
  <w:style w:type="paragraph" w:styleId="afff0">
    <w:name w:val="Note Heading"/>
    <w:basedOn w:val="a1"/>
    <w:next w:val="a1"/>
    <w:link w:val="afff"/>
    <w:unhideWhenUsed/>
    <w:qFormat/>
    <w:pPr>
      <w:spacing w:after="0" w:line="240" w:lineRule="auto"/>
    </w:pPr>
    <w:rPr>
      <w:rFonts w:ascii="Times New Roman" w:eastAsia="Times New Roman" w:hAnsi="Times New Roman" w:cs="Times New Roman"/>
      <w:sz w:val="20"/>
      <w:szCs w:val="20"/>
      <w:lang w:val="en-GB"/>
    </w:rPr>
  </w:style>
  <w:style w:type="paragraph" w:styleId="29">
    <w:name w:val="Body Text 2"/>
    <w:basedOn w:val="a1"/>
    <w:link w:val="28"/>
    <w:unhideWhenUsed/>
    <w:qFormat/>
    <w:pPr>
      <w:spacing w:after="120" w:line="480" w:lineRule="auto"/>
    </w:pPr>
    <w:rPr>
      <w:sz w:val="24"/>
      <w:szCs w:val="24"/>
    </w:rPr>
  </w:style>
  <w:style w:type="paragraph" w:styleId="35">
    <w:name w:val="Body Text 3"/>
    <w:basedOn w:val="a1"/>
    <w:link w:val="34"/>
    <w:unhideWhenUsed/>
    <w:qFormat/>
    <w:pPr>
      <w:spacing w:after="120" w:line="240" w:lineRule="auto"/>
    </w:pPr>
    <w:rPr>
      <w:sz w:val="16"/>
      <w:szCs w:val="16"/>
    </w:rPr>
  </w:style>
  <w:style w:type="paragraph" w:styleId="2b">
    <w:name w:val="Body Text Indent 2"/>
    <w:basedOn w:val="a1"/>
    <w:link w:val="2a"/>
    <w:unhideWhenUsed/>
    <w:qFormat/>
    <w:pPr>
      <w:spacing w:before="120" w:after="0" w:line="312" w:lineRule="auto"/>
      <w:ind w:firstLine="720"/>
      <w:jc w:val="both"/>
    </w:pPr>
    <w:rPr>
      <w:sz w:val="26"/>
      <w:szCs w:val="26"/>
    </w:rPr>
  </w:style>
  <w:style w:type="paragraph" w:styleId="37">
    <w:name w:val="Body Text Indent 3"/>
    <w:basedOn w:val="a1"/>
    <w:link w:val="36"/>
    <w:unhideWhenUsed/>
    <w:qFormat/>
    <w:pPr>
      <w:spacing w:after="240" w:line="240" w:lineRule="auto"/>
      <w:ind w:left="720"/>
    </w:pPr>
    <w:rPr>
      <w:lang w:val="en-GB"/>
    </w:rPr>
  </w:style>
  <w:style w:type="paragraph" w:styleId="affffb">
    <w:name w:val="Block Text"/>
    <w:basedOn w:val="a1"/>
    <w:next w:val="a2"/>
    <w:unhideWhenUsed/>
    <w:qFormat/>
    <w:pPr>
      <w:spacing w:before="240" w:after="240" w:line="240" w:lineRule="auto"/>
      <w:ind w:left="1440" w:right="1440"/>
    </w:pPr>
    <w:rPr>
      <w:rFonts w:ascii="Times New Roman" w:eastAsia="Times New Roman" w:hAnsi="Times New Roman" w:cs="Times New Roman"/>
      <w:sz w:val="20"/>
      <w:szCs w:val="20"/>
      <w:lang w:val="en-GB"/>
    </w:rPr>
  </w:style>
  <w:style w:type="paragraph" w:styleId="afff2">
    <w:name w:val="Plain Text"/>
    <w:basedOn w:val="a1"/>
    <w:link w:val="afff1"/>
    <w:unhideWhenUsed/>
    <w:qFormat/>
    <w:pPr>
      <w:spacing w:after="0" w:line="240" w:lineRule="auto"/>
    </w:pPr>
    <w:rPr>
      <w:rFonts w:ascii="Courier New" w:eastAsia="Times New Roman" w:hAnsi="Courier New" w:cs="Courier New"/>
      <w:sz w:val="20"/>
      <w:szCs w:val="20"/>
      <w:lang w:eastAsia="ru-RU"/>
    </w:rPr>
  </w:style>
  <w:style w:type="paragraph" w:styleId="afff4">
    <w:name w:val="Balloon Text"/>
    <w:basedOn w:val="a1"/>
    <w:link w:val="afff3"/>
    <w:uiPriority w:val="99"/>
    <w:unhideWhenUsed/>
    <w:qFormat/>
    <w:pPr>
      <w:spacing w:after="0" w:line="240" w:lineRule="auto"/>
    </w:pPr>
    <w:rPr>
      <w:rFonts w:ascii="Tahoma" w:eastAsia="Times New Roman" w:hAnsi="Tahoma" w:cs="Tahoma"/>
      <w:sz w:val="16"/>
      <w:szCs w:val="16"/>
      <w:lang w:eastAsia="ru-RU"/>
    </w:rPr>
  </w:style>
  <w:style w:type="paragraph" w:customStyle="1" w:styleId="ConsPlusNormal">
    <w:name w:val="ConsPlusNormal"/>
    <w:qFormat/>
    <w:pPr>
      <w:widowControl w:val="0"/>
      <w:ind w:firstLine="720"/>
    </w:pPr>
    <w:rPr>
      <w:rFonts w:ascii="Arial" w:eastAsia="Times New Roman" w:hAnsi="Arial"/>
      <w:sz w:val="20"/>
      <w:szCs w:val="20"/>
      <w:lang w:eastAsia="ru-RU"/>
    </w:rPr>
  </w:style>
  <w:style w:type="paragraph" w:customStyle="1" w:styleId="-">
    <w:name w:val="-"/>
    <w:basedOn w:val="a1"/>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ffc">
    <w:name w:val="Знак"/>
    <w:basedOn w:val="a1"/>
    <w:qFormat/>
    <w:pPr>
      <w:spacing w:line="240" w:lineRule="exact"/>
    </w:pPr>
    <w:rPr>
      <w:rFonts w:ascii="Verdana" w:eastAsia="Times New Roman" w:hAnsi="Verdana" w:cs="Verdana"/>
      <w:sz w:val="20"/>
      <w:szCs w:val="20"/>
      <w:lang w:val="en-US"/>
    </w:rPr>
  </w:style>
  <w:style w:type="paragraph" w:customStyle="1" w:styleId="subclauseindent">
    <w:name w:val="subclauseindent"/>
    <w:basedOn w:val="a1"/>
    <w:qFormat/>
    <w:pPr>
      <w:spacing w:before="120" w:after="120" w:line="240" w:lineRule="auto"/>
      <w:ind w:left="1701"/>
      <w:jc w:val="both"/>
    </w:pPr>
    <w:rPr>
      <w:rFonts w:ascii="Times New Roman" w:eastAsia="Times New Roman" w:hAnsi="Times New Roman" w:cs="Times New Roman"/>
      <w:szCs w:val="20"/>
    </w:rPr>
  </w:style>
  <w:style w:type="paragraph" w:customStyle="1" w:styleId="prilozhenie">
    <w:name w:val="prilozhenie"/>
    <w:basedOn w:val="a1"/>
    <w:qFormat/>
    <w:pPr>
      <w:spacing w:after="0" w:line="240" w:lineRule="auto"/>
      <w:ind w:firstLine="709"/>
      <w:jc w:val="both"/>
    </w:pPr>
    <w:rPr>
      <w:rFonts w:ascii="Times New Roman" w:eastAsia="Times New Roman" w:hAnsi="Times New Roman" w:cs="Times New Roman"/>
      <w:sz w:val="24"/>
      <w:szCs w:val="24"/>
    </w:rPr>
  </w:style>
  <w:style w:type="paragraph" w:customStyle="1" w:styleId="n-txt">
    <w:name w:val="n-txt"/>
    <w:basedOn w:val="a1"/>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sNormal">
    <w:name w:val="ConsNormal"/>
    <w:qFormat/>
    <w:pPr>
      <w:widowControl w:val="0"/>
      <w:ind w:firstLine="720"/>
    </w:pPr>
    <w:rPr>
      <w:rFonts w:ascii="Arial" w:eastAsia="Times New Roman" w:hAnsi="Arial"/>
      <w:sz w:val="20"/>
      <w:szCs w:val="20"/>
      <w:lang w:eastAsia="ru-RU"/>
    </w:rPr>
  </w:style>
  <w:style w:type="paragraph" w:customStyle="1" w:styleId="consnormal1">
    <w:name w:val="consnormal1"/>
    <w:basedOn w:val="a1"/>
    <w:qFormat/>
    <w:pPr>
      <w:spacing w:after="0" w:line="240" w:lineRule="auto"/>
      <w:ind w:firstLine="720"/>
    </w:pPr>
    <w:rPr>
      <w:rFonts w:ascii="Arial" w:eastAsia="Times New Roman" w:hAnsi="Arial" w:cs="Arial"/>
      <w:sz w:val="20"/>
      <w:szCs w:val="20"/>
      <w:lang w:eastAsia="ru-RU"/>
    </w:rPr>
  </w:style>
  <w:style w:type="paragraph" w:customStyle="1" w:styleId="BaseText2">
    <w:name w:val="BaseText2"/>
    <w:basedOn w:val="21"/>
    <w:qFormat/>
    <w:pPr>
      <w:keepNext w:val="0"/>
      <w:spacing w:before="120" w:after="0" w:line="360" w:lineRule="atLeast"/>
      <w:ind w:left="284"/>
      <w:outlineLvl w:val="9"/>
    </w:pPr>
    <w:rPr>
      <w:rFonts w:ascii="Arial" w:hAnsi="Arial"/>
      <w:szCs w:val="20"/>
    </w:rPr>
  </w:style>
  <w:style w:type="paragraph" w:customStyle="1" w:styleId="1f4">
    <w:name w:val="Стиль1"/>
    <w:basedOn w:val="a1"/>
    <w:qFormat/>
    <w:pPr>
      <w:spacing w:after="0" w:line="240" w:lineRule="auto"/>
      <w:ind w:firstLine="720"/>
      <w:jc w:val="both"/>
    </w:pPr>
    <w:rPr>
      <w:rFonts w:ascii="Times New Roman" w:eastAsia="Times New Roman" w:hAnsi="Times New Roman" w:cs="Times New Roman"/>
      <w:sz w:val="24"/>
      <w:szCs w:val="24"/>
      <w:lang w:eastAsia="ru-RU"/>
    </w:rPr>
  </w:style>
  <w:style w:type="paragraph" w:customStyle="1" w:styleId="BodyTextFlush2">
    <w:name w:val="Body Text Flush 2"/>
    <w:basedOn w:val="a1"/>
    <w:qFormat/>
    <w:pPr>
      <w:spacing w:after="0" w:line="480" w:lineRule="auto"/>
    </w:pPr>
    <w:rPr>
      <w:rFonts w:ascii="Times New Roman" w:eastAsia="Times New Roman" w:hAnsi="Times New Roman" w:cs="Times New Roman"/>
      <w:sz w:val="20"/>
      <w:szCs w:val="20"/>
      <w:lang w:val="en-GB"/>
    </w:rPr>
  </w:style>
  <w:style w:type="paragraph" w:customStyle="1" w:styleId="BodyTextFlush">
    <w:name w:val="Body Text Flush"/>
    <w:basedOn w:val="a1"/>
    <w:qFormat/>
    <w:pPr>
      <w:spacing w:before="240" w:after="240" w:line="240" w:lineRule="auto"/>
    </w:pPr>
    <w:rPr>
      <w:rFonts w:ascii="Times New Roman" w:eastAsia="Times New Roman" w:hAnsi="Times New Roman" w:cs="Times New Roman"/>
      <w:sz w:val="20"/>
      <w:szCs w:val="20"/>
      <w:lang w:val="en-GB"/>
    </w:rPr>
  </w:style>
  <w:style w:type="paragraph" w:customStyle="1" w:styleId="Center">
    <w:name w:val="Center"/>
    <w:basedOn w:val="a1"/>
    <w:qFormat/>
    <w:pPr>
      <w:spacing w:before="240" w:after="240" w:line="240" w:lineRule="auto"/>
      <w:jc w:val="center"/>
    </w:pPr>
    <w:rPr>
      <w:rFonts w:ascii="Times New Roman" w:eastAsia="Times New Roman" w:hAnsi="Times New Roman" w:cs="Times New Roman"/>
      <w:sz w:val="20"/>
      <w:szCs w:val="20"/>
      <w:lang w:val="en-GB"/>
    </w:rPr>
  </w:style>
  <w:style w:type="paragraph" w:customStyle="1" w:styleId="DPComment">
    <w:name w:val="DP Comment"/>
    <w:basedOn w:val="a2"/>
    <w:next w:val="a2"/>
    <w:qFormat/>
    <w:pPr>
      <w:spacing w:before="240" w:after="240"/>
      <w:ind w:firstLine="720"/>
    </w:pPr>
    <w:rPr>
      <w:vanish/>
      <w:color w:val="FF0000"/>
      <w:sz w:val="20"/>
      <w:szCs w:val="20"/>
      <w:lang w:val="en-GB" w:eastAsia="en-US"/>
    </w:rPr>
  </w:style>
  <w:style w:type="paragraph" w:customStyle="1" w:styleId="FlushRight">
    <w:name w:val="Flush Right"/>
    <w:basedOn w:val="a1"/>
    <w:qFormat/>
    <w:pPr>
      <w:spacing w:before="240" w:after="240" w:line="240" w:lineRule="auto"/>
      <w:jc w:val="right"/>
    </w:pPr>
    <w:rPr>
      <w:rFonts w:ascii="Times New Roman" w:eastAsia="Times New Roman" w:hAnsi="Times New Roman" w:cs="Times New Roman"/>
      <w:sz w:val="20"/>
      <w:szCs w:val="20"/>
      <w:lang w:val="en-GB"/>
    </w:rPr>
  </w:style>
  <w:style w:type="paragraph" w:customStyle="1" w:styleId="HangingIndent">
    <w:name w:val="Hanging Indent"/>
    <w:basedOn w:val="BodyTextFlush"/>
    <w:qFormat/>
    <w:pPr>
      <w:ind w:left="720" w:hanging="720"/>
    </w:pPr>
  </w:style>
  <w:style w:type="paragraph" w:customStyle="1" w:styleId="SignatureLeft">
    <w:name w:val="Signature Left"/>
    <w:basedOn w:val="a1"/>
    <w:qFormat/>
    <w:pPr>
      <w:keepLines/>
      <w:tabs>
        <w:tab w:val="left" w:pos="432"/>
        <w:tab w:val="right" w:pos="4320"/>
      </w:tabs>
      <w:spacing w:before="480" w:after="480" w:line="240" w:lineRule="auto"/>
    </w:pPr>
    <w:rPr>
      <w:rFonts w:ascii="Times New Roman" w:eastAsia="Times New Roman" w:hAnsi="Times New Roman" w:cs="Times New Roman"/>
      <w:sz w:val="20"/>
      <w:szCs w:val="20"/>
      <w:lang w:val="en-GB"/>
    </w:rPr>
  </w:style>
  <w:style w:type="paragraph" w:customStyle="1" w:styleId="TableFinancial">
    <w:name w:val="Table Financial"/>
    <w:basedOn w:val="a1"/>
    <w:next w:val="a1"/>
    <w:qFormat/>
    <w:pPr>
      <w:tabs>
        <w:tab w:val="left" w:pos="216"/>
        <w:tab w:val="decimal" w:pos="432"/>
      </w:tabs>
      <w:spacing w:after="0" w:line="240" w:lineRule="auto"/>
    </w:pPr>
    <w:rPr>
      <w:rFonts w:ascii="Times New Roman" w:eastAsia="Times New Roman" w:hAnsi="Times New Roman" w:cs="Times New Roman"/>
      <w:sz w:val="20"/>
      <w:szCs w:val="20"/>
      <w:lang w:val="en-GB"/>
    </w:rPr>
  </w:style>
  <w:style w:type="paragraph" w:customStyle="1" w:styleId="TableNote10pt">
    <w:name w:val="TableNote10pt"/>
    <w:basedOn w:val="a1"/>
    <w:qFormat/>
    <w:pPr>
      <w:spacing w:after="0" w:line="240" w:lineRule="auto"/>
      <w:ind w:left="432" w:hanging="432"/>
    </w:pPr>
    <w:rPr>
      <w:rFonts w:ascii="Times New Roman" w:eastAsia="Times New Roman" w:hAnsi="Times New Roman" w:cs="Times New Roman"/>
      <w:sz w:val="20"/>
      <w:szCs w:val="20"/>
      <w:lang w:val="en-GB"/>
    </w:rPr>
  </w:style>
  <w:style w:type="paragraph" w:customStyle="1" w:styleId="TableNote11pt">
    <w:name w:val="TableNote11pt"/>
    <w:basedOn w:val="a1"/>
    <w:qFormat/>
    <w:pPr>
      <w:spacing w:after="0" w:line="240" w:lineRule="auto"/>
      <w:ind w:left="432" w:hanging="432"/>
    </w:pPr>
    <w:rPr>
      <w:rFonts w:ascii="Times New Roman" w:eastAsia="Times New Roman" w:hAnsi="Times New Roman" w:cs="Times New Roman"/>
      <w:lang w:val="en-GB"/>
    </w:rPr>
  </w:style>
  <w:style w:type="paragraph" w:customStyle="1" w:styleId="TableNote8pt">
    <w:name w:val="TableNote8pt"/>
    <w:basedOn w:val="a1"/>
    <w:qFormat/>
    <w:pPr>
      <w:spacing w:after="0" w:line="240" w:lineRule="auto"/>
      <w:ind w:left="432" w:hanging="432"/>
    </w:pPr>
    <w:rPr>
      <w:rFonts w:ascii="Times New Roman" w:eastAsia="Times New Roman" w:hAnsi="Times New Roman" w:cs="Times New Roman"/>
      <w:sz w:val="16"/>
      <w:szCs w:val="16"/>
      <w:lang w:val="en-GB"/>
    </w:rPr>
  </w:style>
  <w:style w:type="paragraph" w:customStyle="1" w:styleId="TableNote9pt">
    <w:name w:val="TableNote9pt"/>
    <w:basedOn w:val="a1"/>
    <w:qFormat/>
    <w:pPr>
      <w:spacing w:after="0" w:line="240" w:lineRule="auto"/>
      <w:ind w:left="432" w:hanging="432"/>
    </w:pPr>
    <w:rPr>
      <w:rFonts w:ascii="Times New Roman" w:eastAsia="Times New Roman" w:hAnsi="Times New Roman" w:cs="Times New Roman"/>
      <w:sz w:val="18"/>
      <w:szCs w:val="18"/>
      <w:lang w:val="en-GB"/>
    </w:rPr>
  </w:style>
  <w:style w:type="paragraph" w:customStyle="1" w:styleId="TableNoteLine">
    <w:name w:val="TableNoteLine"/>
    <w:basedOn w:val="a1"/>
    <w:next w:val="TableNote8pt"/>
    <w:qFormat/>
    <w:pPr>
      <w:keepNext/>
      <w:pBdr>
        <w:bottom w:val="single" w:sz="4" w:space="1" w:color="000000"/>
      </w:pBdr>
      <w:spacing w:after="120" w:line="240" w:lineRule="auto"/>
      <w:ind w:right="7920"/>
    </w:pPr>
    <w:rPr>
      <w:rFonts w:ascii="Times New Roman" w:eastAsia="Times New Roman" w:hAnsi="Times New Roman" w:cs="Times New Roman"/>
      <w:sz w:val="16"/>
      <w:szCs w:val="16"/>
      <w:lang w:val="en-GB"/>
    </w:rPr>
  </w:style>
  <w:style w:type="paragraph" w:customStyle="1" w:styleId="Title16">
    <w:name w:val="Title 16"/>
    <w:basedOn w:val="afff5"/>
    <w:next w:val="affa"/>
    <w:qFormat/>
    <w:pPr>
      <w:keepNext/>
      <w:spacing w:after="240"/>
      <w:contextualSpacing w:val="0"/>
      <w:jc w:val="center"/>
    </w:pPr>
    <w:rPr>
      <w:sz w:val="32"/>
      <w:szCs w:val="32"/>
    </w:rPr>
  </w:style>
  <w:style w:type="paragraph" w:customStyle="1" w:styleId="afffe">
    <w:name w:val="Таблица"/>
    <w:basedOn w:val="a1"/>
    <w:link w:val="afffd"/>
    <w:qFormat/>
    <w:pPr>
      <w:spacing w:after="0" w:line="240" w:lineRule="auto"/>
      <w:jc w:val="both"/>
    </w:pPr>
    <w:rPr>
      <w:rFonts w:ascii="Times New Roman" w:eastAsia="Times New Roman" w:hAnsi="Times New Roman" w:cs="Times New Roman"/>
      <w:sz w:val="24"/>
      <w:szCs w:val="24"/>
      <w:lang w:eastAsia="ru-RU"/>
    </w:rPr>
  </w:style>
  <w:style w:type="paragraph" w:customStyle="1" w:styleId="vt">
    <w:name w:val="vt"/>
    <w:basedOn w:val="a2"/>
    <w:qFormat/>
    <w:pPr>
      <w:spacing w:before="240" w:after="240"/>
      <w:ind w:firstLine="720"/>
    </w:pPr>
    <w:rPr>
      <w:sz w:val="20"/>
      <w:szCs w:val="20"/>
      <w:lang w:val="en-GB" w:eastAsia="en-US"/>
    </w:rPr>
  </w:style>
  <w:style w:type="paragraph" w:customStyle="1" w:styleId="Blb3">
    <w:name w:val="Blb3"/>
    <w:basedOn w:val="41"/>
    <w:qFormat/>
  </w:style>
  <w:style w:type="paragraph" w:customStyle="1" w:styleId="ListBullet6">
    <w:name w:val="List Bullet 6"/>
    <w:basedOn w:val="2"/>
    <w:qFormat/>
    <w:pPr>
      <w:tabs>
        <w:tab w:val="clear" w:pos="420"/>
        <w:tab w:val="left" w:pos="720"/>
      </w:tabs>
      <w:ind w:left="4320" w:hanging="720"/>
    </w:pPr>
  </w:style>
  <w:style w:type="paragraph" w:customStyle="1" w:styleId="la2">
    <w:name w:val="la2"/>
    <w:basedOn w:val="a1"/>
    <w:next w:val="a1"/>
    <w:qFormat/>
    <w:pPr>
      <w:spacing w:after="0" w:line="40" w:lineRule="exact"/>
    </w:pPr>
    <w:rPr>
      <w:rFonts w:ascii="Times New Roman" w:eastAsia="Times New Roman" w:hAnsi="Times New Roman" w:cs="Times New Roman"/>
      <w:sz w:val="8"/>
      <w:szCs w:val="8"/>
      <w:lang w:val="en-US"/>
    </w:rPr>
  </w:style>
  <w:style w:type="paragraph" w:customStyle="1" w:styleId="H1">
    <w:name w:val="H1"/>
    <w:qFormat/>
    <w:pPr>
      <w:spacing w:line="240" w:lineRule="exact"/>
      <w:jc w:val="center"/>
    </w:pPr>
    <w:rPr>
      <w:rFonts w:ascii="Times New Roman" w:eastAsia="Times New Roman" w:hAnsi="Times New Roman" w:cs="Times New Roman"/>
      <w:b/>
      <w:bCs/>
      <w:sz w:val="20"/>
      <w:szCs w:val="20"/>
      <w:lang w:val="en-US"/>
    </w:rPr>
  </w:style>
  <w:style w:type="paragraph" w:customStyle="1" w:styleId="H2">
    <w:name w:val="H2"/>
    <w:qFormat/>
    <w:pPr>
      <w:spacing w:line="240" w:lineRule="exact"/>
    </w:pPr>
    <w:rPr>
      <w:rFonts w:ascii="Times New Roman" w:eastAsia="Times New Roman" w:hAnsi="Times New Roman" w:cs="Times New Roman"/>
      <w:b/>
      <w:bCs/>
      <w:sz w:val="20"/>
      <w:szCs w:val="20"/>
      <w:lang w:val="en-US"/>
    </w:rPr>
  </w:style>
  <w:style w:type="paragraph" w:customStyle="1" w:styleId="H3">
    <w:name w:val="H3"/>
    <w:qFormat/>
    <w:pPr>
      <w:spacing w:line="240" w:lineRule="exact"/>
      <w:jc w:val="right"/>
    </w:pPr>
    <w:rPr>
      <w:rFonts w:ascii="Times New Roman" w:eastAsia="Times New Roman" w:hAnsi="Times New Roman" w:cs="Times New Roman"/>
      <w:b/>
      <w:bCs/>
      <w:sz w:val="20"/>
      <w:szCs w:val="20"/>
      <w:lang w:val="en-US"/>
    </w:rPr>
  </w:style>
  <w:style w:type="paragraph" w:customStyle="1" w:styleId="H4">
    <w:name w:val="H4"/>
    <w:qFormat/>
    <w:pPr>
      <w:spacing w:line="240" w:lineRule="exact"/>
      <w:jc w:val="center"/>
    </w:pPr>
    <w:rPr>
      <w:rFonts w:ascii="Times New Roman" w:eastAsia="Times New Roman" w:hAnsi="Times New Roman" w:cs="Times New Roman"/>
      <w:i/>
      <w:iCs/>
      <w:sz w:val="20"/>
      <w:szCs w:val="20"/>
      <w:lang w:val="en-US"/>
    </w:rPr>
  </w:style>
  <w:style w:type="paragraph" w:customStyle="1" w:styleId="H4X">
    <w:name w:val="H4X"/>
    <w:qFormat/>
    <w:pPr>
      <w:spacing w:line="240" w:lineRule="exact"/>
      <w:jc w:val="center"/>
    </w:pPr>
    <w:rPr>
      <w:rFonts w:ascii="Times New Roman" w:eastAsia="Times New Roman" w:hAnsi="Times New Roman" w:cs="Times New Roman"/>
      <w:b/>
      <w:bCs/>
      <w:i/>
      <w:iCs/>
      <w:sz w:val="20"/>
      <w:szCs w:val="20"/>
      <w:lang w:val="en-US"/>
    </w:rPr>
  </w:style>
  <w:style w:type="paragraph" w:customStyle="1" w:styleId="H5">
    <w:name w:val="H5"/>
    <w:qFormat/>
    <w:pPr>
      <w:spacing w:line="240" w:lineRule="exact"/>
    </w:pPr>
    <w:rPr>
      <w:rFonts w:ascii="Times New Roman" w:eastAsia="Times New Roman" w:hAnsi="Times New Roman" w:cs="Times New Roman"/>
      <w:i/>
      <w:iCs/>
      <w:sz w:val="20"/>
      <w:szCs w:val="20"/>
      <w:lang w:val="en-US"/>
    </w:rPr>
  </w:style>
  <w:style w:type="paragraph" w:customStyle="1" w:styleId="H5X">
    <w:name w:val="H5X"/>
    <w:qFormat/>
    <w:pPr>
      <w:spacing w:line="240" w:lineRule="exact"/>
    </w:pPr>
    <w:rPr>
      <w:rFonts w:ascii="Times New Roman" w:eastAsia="Times New Roman" w:hAnsi="Times New Roman" w:cs="Times New Roman"/>
      <w:b/>
      <w:bCs/>
      <w:i/>
      <w:iCs/>
      <w:sz w:val="20"/>
      <w:szCs w:val="20"/>
      <w:lang w:val="en-US"/>
    </w:rPr>
  </w:style>
  <w:style w:type="paragraph" w:customStyle="1" w:styleId="H6">
    <w:name w:val="H6"/>
    <w:qFormat/>
    <w:pPr>
      <w:spacing w:line="240" w:lineRule="exact"/>
      <w:jc w:val="right"/>
    </w:pPr>
    <w:rPr>
      <w:rFonts w:ascii="Times New Roman" w:eastAsia="Times New Roman" w:hAnsi="Times New Roman" w:cs="Times New Roman"/>
      <w:i/>
      <w:iCs/>
      <w:sz w:val="20"/>
      <w:szCs w:val="20"/>
      <w:lang w:val="en-US"/>
    </w:rPr>
  </w:style>
  <w:style w:type="paragraph" w:customStyle="1" w:styleId="H6X">
    <w:name w:val="H6X"/>
    <w:qFormat/>
    <w:pPr>
      <w:spacing w:line="240" w:lineRule="exact"/>
      <w:jc w:val="right"/>
    </w:pPr>
    <w:rPr>
      <w:rFonts w:ascii="Times New Roman" w:eastAsia="Times New Roman" w:hAnsi="Times New Roman" w:cs="Times New Roman"/>
      <w:b/>
      <w:bCs/>
      <w:i/>
      <w:iCs/>
      <w:sz w:val="20"/>
      <w:szCs w:val="20"/>
      <w:lang w:val="en-US"/>
    </w:rPr>
  </w:style>
  <w:style w:type="paragraph" w:customStyle="1" w:styleId="H7">
    <w:name w:val="H7"/>
    <w:qFormat/>
    <w:pPr>
      <w:spacing w:line="240" w:lineRule="exact"/>
      <w:jc w:val="center"/>
    </w:pPr>
    <w:rPr>
      <w:rFonts w:ascii="Times New Roman" w:eastAsia="Times New Roman" w:hAnsi="Times New Roman" w:cs="Times New Roman"/>
      <w:sz w:val="20"/>
      <w:szCs w:val="20"/>
      <w:lang w:val="en-US"/>
    </w:rPr>
  </w:style>
  <w:style w:type="paragraph" w:customStyle="1" w:styleId="H8">
    <w:name w:val="H8"/>
    <w:qFormat/>
    <w:pPr>
      <w:spacing w:line="240" w:lineRule="exact"/>
    </w:pPr>
    <w:rPr>
      <w:rFonts w:ascii="Times New Roman" w:eastAsia="Times New Roman" w:hAnsi="Times New Roman" w:cs="Times New Roman"/>
      <w:sz w:val="20"/>
      <w:szCs w:val="20"/>
      <w:lang w:val="en-US"/>
    </w:rPr>
  </w:style>
  <w:style w:type="paragraph" w:customStyle="1" w:styleId="H9">
    <w:name w:val="H9"/>
    <w:qFormat/>
    <w:pPr>
      <w:spacing w:line="240" w:lineRule="exact"/>
      <w:jc w:val="right"/>
    </w:pPr>
    <w:rPr>
      <w:rFonts w:ascii="Times New Roman" w:eastAsia="Times New Roman" w:hAnsi="Times New Roman" w:cs="Times New Roman"/>
      <w:sz w:val="20"/>
      <w:szCs w:val="20"/>
      <w:lang w:val="en-US"/>
    </w:rPr>
  </w:style>
  <w:style w:type="paragraph" w:customStyle="1" w:styleId="I1">
    <w:name w:val="I1"/>
    <w:qFormat/>
    <w:pPr>
      <w:spacing w:line="240" w:lineRule="exact"/>
      <w:ind w:left="240"/>
    </w:pPr>
    <w:rPr>
      <w:rFonts w:ascii="Times New Roman" w:eastAsia="Times New Roman" w:hAnsi="Times New Roman" w:cs="Times New Roman"/>
      <w:sz w:val="20"/>
      <w:szCs w:val="20"/>
      <w:lang w:val="en-US"/>
    </w:rPr>
  </w:style>
  <w:style w:type="paragraph" w:customStyle="1" w:styleId="I2">
    <w:name w:val="I2"/>
    <w:qFormat/>
    <w:pPr>
      <w:spacing w:line="240" w:lineRule="exact"/>
      <w:ind w:left="480"/>
    </w:pPr>
    <w:rPr>
      <w:rFonts w:ascii="Times New Roman" w:eastAsia="Times New Roman" w:hAnsi="Times New Roman" w:cs="Times New Roman"/>
      <w:sz w:val="20"/>
      <w:szCs w:val="20"/>
      <w:lang w:val="en-US"/>
    </w:rPr>
  </w:style>
  <w:style w:type="paragraph" w:customStyle="1" w:styleId="I3">
    <w:name w:val="I3"/>
    <w:qFormat/>
    <w:pPr>
      <w:spacing w:line="240" w:lineRule="exact"/>
      <w:ind w:left="720"/>
    </w:pPr>
    <w:rPr>
      <w:rFonts w:ascii="Times New Roman" w:eastAsia="Times New Roman" w:hAnsi="Times New Roman" w:cs="Times New Roman"/>
      <w:sz w:val="20"/>
      <w:szCs w:val="20"/>
      <w:lang w:val="en-US"/>
    </w:rPr>
  </w:style>
  <w:style w:type="paragraph" w:customStyle="1" w:styleId="I4">
    <w:name w:val="I4"/>
    <w:qFormat/>
    <w:pPr>
      <w:spacing w:line="240" w:lineRule="exact"/>
      <w:ind w:left="960"/>
    </w:pPr>
    <w:rPr>
      <w:rFonts w:ascii="Times New Roman" w:eastAsia="Times New Roman" w:hAnsi="Times New Roman" w:cs="Times New Roman"/>
      <w:sz w:val="20"/>
      <w:szCs w:val="20"/>
      <w:lang w:val="en-US"/>
    </w:rPr>
  </w:style>
  <w:style w:type="paragraph" w:customStyle="1" w:styleId="IH1">
    <w:name w:val="IH1"/>
    <w:qFormat/>
    <w:pPr>
      <w:spacing w:line="240" w:lineRule="exact"/>
      <w:ind w:left="200" w:hanging="200"/>
    </w:pPr>
    <w:rPr>
      <w:rFonts w:ascii="Times New Roman" w:eastAsia="Times New Roman" w:hAnsi="Times New Roman" w:cs="Times New Roman"/>
      <w:sz w:val="20"/>
      <w:szCs w:val="20"/>
      <w:lang w:val="en-US"/>
    </w:rPr>
  </w:style>
  <w:style w:type="paragraph" w:customStyle="1" w:styleId="IH2">
    <w:name w:val="IH2"/>
    <w:qFormat/>
    <w:pPr>
      <w:ind w:left="400" w:hanging="400"/>
    </w:pPr>
    <w:rPr>
      <w:rFonts w:ascii="Times New Roman" w:eastAsia="Times New Roman" w:hAnsi="Times New Roman" w:cs="Times New Roman"/>
      <w:sz w:val="20"/>
      <w:szCs w:val="20"/>
      <w:lang w:val="en-US"/>
    </w:rPr>
  </w:style>
  <w:style w:type="paragraph" w:customStyle="1" w:styleId="IH3">
    <w:name w:val="IH3"/>
    <w:qFormat/>
    <w:pPr>
      <w:tabs>
        <w:tab w:val="left" w:pos="2"/>
      </w:tabs>
      <w:spacing w:line="240" w:lineRule="exact"/>
      <w:ind w:left="500" w:hanging="500"/>
    </w:pPr>
    <w:rPr>
      <w:rFonts w:ascii="Times New Roman" w:eastAsia="Times New Roman" w:hAnsi="Times New Roman" w:cs="Times New Roman"/>
      <w:sz w:val="20"/>
      <w:szCs w:val="20"/>
      <w:lang w:val="en-US"/>
    </w:rPr>
  </w:style>
  <w:style w:type="paragraph" w:customStyle="1" w:styleId="P1">
    <w:name w:val="P1"/>
    <w:qFormat/>
    <w:pPr>
      <w:spacing w:line="240" w:lineRule="exact"/>
    </w:pPr>
    <w:rPr>
      <w:rFonts w:ascii="Times New Roman" w:eastAsia="Times New Roman" w:hAnsi="Times New Roman" w:cs="Times New Roman"/>
      <w:sz w:val="20"/>
      <w:szCs w:val="20"/>
      <w:lang w:val="en-US"/>
    </w:rPr>
  </w:style>
  <w:style w:type="paragraph" w:customStyle="1" w:styleId="P2">
    <w:name w:val="P2"/>
    <w:qFormat/>
    <w:pPr>
      <w:spacing w:line="240" w:lineRule="exact"/>
    </w:pPr>
    <w:rPr>
      <w:rFonts w:ascii="Times New Roman" w:eastAsia="Times New Roman" w:hAnsi="Times New Roman" w:cs="Times New Roman"/>
      <w:b/>
      <w:bCs/>
      <w:sz w:val="20"/>
      <w:szCs w:val="20"/>
      <w:lang w:val="en-US"/>
    </w:rPr>
  </w:style>
  <w:style w:type="paragraph" w:customStyle="1" w:styleId="P3">
    <w:name w:val="P3"/>
    <w:qFormat/>
    <w:pPr>
      <w:spacing w:line="240" w:lineRule="exact"/>
    </w:pPr>
    <w:rPr>
      <w:rFonts w:ascii="Times New Roman" w:eastAsia="Times New Roman" w:hAnsi="Times New Roman" w:cs="Times New Roman"/>
      <w:i/>
      <w:iCs/>
      <w:sz w:val="20"/>
      <w:szCs w:val="20"/>
      <w:lang w:val="en-US"/>
    </w:rPr>
  </w:style>
  <w:style w:type="paragraph" w:customStyle="1" w:styleId="P4">
    <w:name w:val="P4"/>
    <w:qFormat/>
    <w:pPr>
      <w:spacing w:line="240" w:lineRule="exact"/>
    </w:pPr>
    <w:rPr>
      <w:rFonts w:ascii="Times New Roman" w:eastAsia="Times New Roman" w:hAnsi="Times New Roman" w:cs="Times New Roman"/>
      <w:b/>
      <w:bCs/>
      <w:i/>
      <w:iCs/>
      <w:sz w:val="20"/>
      <w:szCs w:val="20"/>
      <w:lang w:val="en-US"/>
    </w:rPr>
  </w:style>
  <w:style w:type="paragraph" w:customStyle="1" w:styleId="LP10">
    <w:name w:val="LP10"/>
    <w:qFormat/>
    <w:rPr>
      <w:rFonts w:ascii="Times New Roman" w:eastAsia="Times New Roman" w:hAnsi="Times New Roman" w:cs="Times New Roman"/>
      <w:sz w:val="20"/>
      <w:szCs w:val="20"/>
      <w:lang w:val="en-US"/>
    </w:rPr>
  </w:style>
  <w:style w:type="paragraph" w:customStyle="1" w:styleId="LP4">
    <w:name w:val="LP4"/>
    <w:qFormat/>
    <w:rPr>
      <w:rFonts w:ascii="Times New Roman" w:eastAsia="Times New Roman" w:hAnsi="Times New Roman" w:cs="Times New Roman"/>
      <w:sz w:val="8"/>
      <w:szCs w:val="8"/>
      <w:lang w:val="en-US"/>
    </w:rPr>
  </w:style>
  <w:style w:type="paragraph" w:customStyle="1" w:styleId="LP6">
    <w:name w:val="LP6"/>
    <w:qFormat/>
    <w:pPr>
      <w:spacing w:line="120" w:lineRule="exact"/>
      <w:jc w:val="both"/>
    </w:pPr>
    <w:rPr>
      <w:rFonts w:ascii="Times New Roman" w:eastAsia="Times New Roman" w:hAnsi="Times New Roman" w:cs="Times New Roman"/>
      <w:sz w:val="12"/>
      <w:szCs w:val="12"/>
      <w:lang w:val="en-US"/>
    </w:rPr>
  </w:style>
  <w:style w:type="paragraph" w:customStyle="1" w:styleId="LP8">
    <w:name w:val="LP8"/>
    <w:qFormat/>
    <w:rPr>
      <w:rFonts w:ascii="Times New Roman" w:eastAsia="Times New Roman" w:hAnsi="Times New Roman" w:cs="Times New Roman"/>
      <w:sz w:val="16"/>
      <w:szCs w:val="16"/>
      <w:lang w:val="en-US"/>
    </w:rPr>
  </w:style>
  <w:style w:type="paragraph" w:customStyle="1" w:styleId="LP12">
    <w:name w:val="LP12"/>
    <w:qFormat/>
    <w:pPr>
      <w:spacing w:line="240" w:lineRule="exact"/>
      <w:jc w:val="both"/>
    </w:pPr>
    <w:rPr>
      <w:rFonts w:ascii="Times New Roman" w:eastAsia="Times New Roman" w:hAnsi="Times New Roman" w:cs="Times New Roman"/>
      <w:sz w:val="24"/>
      <w:szCs w:val="24"/>
      <w:lang w:val="en-US"/>
    </w:rPr>
  </w:style>
  <w:style w:type="paragraph" w:customStyle="1" w:styleId="LP24">
    <w:name w:val="LP24"/>
    <w:qFormat/>
    <w:pPr>
      <w:spacing w:line="480" w:lineRule="exact"/>
      <w:jc w:val="both"/>
    </w:pPr>
    <w:rPr>
      <w:rFonts w:ascii="Times New Roman" w:eastAsia="Times New Roman" w:hAnsi="Times New Roman" w:cs="Times New Roman"/>
      <w:sz w:val="48"/>
      <w:szCs w:val="48"/>
      <w:lang w:val="en-US"/>
    </w:rPr>
  </w:style>
  <w:style w:type="paragraph" w:customStyle="1" w:styleId="LP18">
    <w:name w:val="LP18"/>
    <w:qFormat/>
    <w:pPr>
      <w:spacing w:line="360" w:lineRule="exact"/>
      <w:jc w:val="both"/>
    </w:pPr>
    <w:rPr>
      <w:rFonts w:ascii="Times New Roman" w:eastAsia="Times New Roman" w:hAnsi="Times New Roman" w:cs="Times New Roman"/>
      <w:sz w:val="36"/>
      <w:szCs w:val="36"/>
      <w:lang w:val="en-US"/>
    </w:rPr>
  </w:style>
  <w:style w:type="paragraph" w:customStyle="1" w:styleId="C8H">
    <w:name w:val="C8H"/>
    <w:qFormat/>
    <w:pPr>
      <w:spacing w:line="160" w:lineRule="exact"/>
      <w:jc w:val="center"/>
    </w:pPr>
    <w:rPr>
      <w:rFonts w:ascii="Times New Roman" w:eastAsia="Times New Roman" w:hAnsi="Times New Roman" w:cs="Times New Roman"/>
      <w:b/>
      <w:bCs/>
      <w:sz w:val="16"/>
      <w:szCs w:val="16"/>
      <w:lang w:val="en-US"/>
    </w:rPr>
  </w:style>
  <w:style w:type="paragraph" w:customStyle="1" w:styleId="ST10">
    <w:name w:val="ST10"/>
    <w:qFormat/>
    <w:pPr>
      <w:spacing w:line="240" w:lineRule="exact"/>
    </w:pPr>
    <w:rPr>
      <w:rFonts w:ascii="Times New Roman" w:eastAsia="Times New Roman" w:hAnsi="Times New Roman" w:cs="Times New Roman"/>
      <w:sz w:val="20"/>
      <w:szCs w:val="20"/>
      <w:lang w:val="en-US"/>
    </w:rPr>
  </w:style>
  <w:style w:type="paragraph" w:customStyle="1" w:styleId="C10">
    <w:name w:val="C10"/>
    <w:qFormat/>
    <w:pPr>
      <w:spacing w:line="240" w:lineRule="exact"/>
      <w:jc w:val="right"/>
    </w:pPr>
    <w:rPr>
      <w:rFonts w:ascii="Times New Roman" w:eastAsia="Times New Roman" w:hAnsi="Times New Roman" w:cs="Times New Roman"/>
      <w:sz w:val="20"/>
      <w:szCs w:val="20"/>
      <w:lang w:val="en-US"/>
    </w:rPr>
  </w:style>
  <w:style w:type="paragraph" w:customStyle="1" w:styleId="TABLE">
    <w:name w:val="TABLE"/>
    <w:basedOn w:val="a1"/>
    <w:qFormat/>
    <w:pPr>
      <w:spacing w:after="0" w:line="240" w:lineRule="exact"/>
    </w:pPr>
    <w:rPr>
      <w:rFonts w:ascii="Times New Roman" w:eastAsia="Times New Roman" w:hAnsi="Times New Roman" w:cs="Times New Roman"/>
      <w:sz w:val="20"/>
      <w:szCs w:val="20"/>
      <w:lang w:val="en-US"/>
    </w:rPr>
  </w:style>
  <w:style w:type="paragraph" w:customStyle="1" w:styleId="rrdColumnRuleStyle">
    <w:name w:val="rrdColumnRule_Style"/>
    <w:basedOn w:val="a1"/>
    <w:qFormat/>
    <w:pPr>
      <w:pBdr>
        <w:top w:val="single" w:sz="6" w:space="1" w:color="000000"/>
      </w:pBdr>
      <w:spacing w:before="20" w:after="0" w:line="40" w:lineRule="exact"/>
      <w:jc w:val="center"/>
    </w:pPr>
    <w:rPr>
      <w:rFonts w:ascii="Times New Roman" w:eastAsia="Times New Roman" w:hAnsi="Times New Roman" w:cs="Times New Roman"/>
      <w:sz w:val="8"/>
      <w:szCs w:val="8"/>
      <w:lang w:val="en-GB"/>
    </w:rPr>
  </w:style>
  <w:style w:type="paragraph" w:customStyle="1" w:styleId="rrdsinglerule">
    <w:name w:val="rrdsinglerule"/>
    <w:basedOn w:val="a1"/>
    <w:next w:val="a1"/>
    <w:qFormat/>
    <w:pPr>
      <w:pBdr>
        <w:top w:val="single" w:sz="8" w:space="1" w:color="000000"/>
      </w:pBdr>
      <w:spacing w:before="20" w:after="0" w:line="20" w:lineRule="exact"/>
      <w:jc w:val="center"/>
    </w:pPr>
    <w:rPr>
      <w:rFonts w:ascii="Times New Roman" w:eastAsia="Times New Roman" w:hAnsi="Times New Roman" w:cs="Times New Roman"/>
      <w:sz w:val="8"/>
      <w:szCs w:val="8"/>
      <w:lang w:val="en-GB"/>
    </w:rPr>
  </w:style>
  <w:style w:type="paragraph" w:customStyle="1" w:styleId="rrddoublerule">
    <w:name w:val="rrddoublerule"/>
    <w:basedOn w:val="rrdsinglerule"/>
    <w:qFormat/>
    <w:pPr>
      <w:pBdr>
        <w:top w:val="single" w:sz="6" w:space="1" w:color="000000"/>
      </w:pBdr>
    </w:pPr>
  </w:style>
  <w:style w:type="paragraph" w:customStyle="1" w:styleId="LA4">
    <w:name w:val="LA4"/>
    <w:basedOn w:val="a1"/>
    <w:qFormat/>
    <w:pPr>
      <w:spacing w:after="0" w:line="80" w:lineRule="exact"/>
    </w:pPr>
    <w:rPr>
      <w:rFonts w:ascii="Times New Roman" w:eastAsia="Times New Roman" w:hAnsi="Times New Roman" w:cs="Times New Roman"/>
      <w:sz w:val="8"/>
      <w:szCs w:val="8"/>
      <w:lang w:val="en-GB"/>
    </w:rPr>
  </w:style>
  <w:style w:type="paragraph" w:customStyle="1" w:styleId="rco">
    <w:name w:val="rco"/>
    <w:qFormat/>
    <w:pPr>
      <w:pBdr>
        <w:bottom w:val="single" w:sz="8" w:space="1" w:color="000000"/>
      </w:pBdr>
      <w:spacing w:line="80" w:lineRule="exact"/>
      <w:ind w:left="4320" w:right="4320"/>
      <w:jc w:val="center"/>
    </w:pPr>
    <w:rPr>
      <w:rFonts w:ascii="Times New Roman" w:eastAsia="Times New Roman" w:hAnsi="Times New Roman" w:cs="Times New Roman"/>
      <w:sz w:val="12"/>
      <w:szCs w:val="12"/>
      <w:lang w:val="en-US"/>
    </w:rPr>
  </w:style>
  <w:style w:type="paragraph" w:customStyle="1" w:styleId="rfn">
    <w:name w:val="rfn"/>
    <w:qFormat/>
    <w:pPr>
      <w:pBdr>
        <w:bottom w:val="single" w:sz="6" w:space="1" w:color="000000"/>
      </w:pBdr>
      <w:spacing w:after="60" w:line="120" w:lineRule="exact"/>
      <w:ind w:right="7200"/>
    </w:pPr>
    <w:rPr>
      <w:rFonts w:ascii="Times New Roman" w:eastAsia="Times New Roman" w:hAnsi="Times New Roman" w:cs="Times New Roman"/>
      <w:sz w:val="12"/>
      <w:szCs w:val="12"/>
      <w:lang w:val="en-US"/>
    </w:rPr>
  </w:style>
  <w:style w:type="paragraph" w:customStyle="1" w:styleId="TableFooter">
    <w:name w:val="Table Footer"/>
    <w:basedOn w:val="affff6"/>
    <w:qFormat/>
    <w:pPr>
      <w:spacing w:after="120"/>
      <w:ind w:left="490" w:hanging="490"/>
    </w:pPr>
    <w:rPr>
      <w:sz w:val="18"/>
      <w:szCs w:val="18"/>
      <w:lang w:val="en-GB" w:eastAsia="en-US"/>
    </w:rPr>
  </w:style>
  <w:style w:type="paragraph" w:customStyle="1" w:styleId="tblText00">
    <w:name w:val="tbl'Text_00"/>
    <w:basedOn w:val="a2"/>
    <w:qFormat/>
    <w:pPr>
      <w:spacing w:after="0"/>
      <w:jc w:val="both"/>
    </w:pPr>
    <w:rPr>
      <w:sz w:val="20"/>
      <w:szCs w:val="20"/>
      <w:lang w:val="en-GB" w:eastAsia="en-US"/>
    </w:rPr>
  </w:style>
  <w:style w:type="paragraph" w:customStyle="1" w:styleId="CG-SingleSp05">
    <w:name w:val="CG-Single Sp 0.5"/>
    <w:basedOn w:val="a1"/>
    <w:qFormat/>
    <w:pPr>
      <w:spacing w:after="240" w:line="240" w:lineRule="auto"/>
      <w:ind w:firstLine="720"/>
    </w:pPr>
    <w:rPr>
      <w:rFonts w:ascii="Times New Roman" w:eastAsia="Times New Roman" w:hAnsi="Times New Roman" w:cs="Times New Roman"/>
      <w:sz w:val="24"/>
      <w:szCs w:val="24"/>
      <w:lang w:val="en-GB"/>
    </w:rPr>
  </w:style>
  <w:style w:type="paragraph" w:customStyle="1" w:styleId="CG-DblSp">
    <w:name w:val="CG-Dbl Sp"/>
    <w:basedOn w:val="a1"/>
    <w:qFormat/>
    <w:pPr>
      <w:spacing w:after="0" w:line="480" w:lineRule="auto"/>
    </w:pPr>
    <w:rPr>
      <w:rFonts w:ascii="Times New Roman" w:eastAsia="Times New Roman" w:hAnsi="Times New Roman" w:cs="Times New Roman"/>
      <w:sz w:val="24"/>
      <w:szCs w:val="24"/>
      <w:lang w:val="en-GB"/>
    </w:rPr>
  </w:style>
  <w:style w:type="paragraph" w:customStyle="1" w:styleId="CG-NumberL">
    <w:name w:val="CG-Number L"/>
    <w:basedOn w:val="a1"/>
    <w:qFormat/>
    <w:pPr>
      <w:tabs>
        <w:tab w:val="left" w:pos="360"/>
        <w:tab w:val="left" w:pos="984"/>
      </w:tabs>
      <w:spacing w:after="0" w:line="240" w:lineRule="auto"/>
      <w:ind w:left="984" w:hanging="360"/>
    </w:pPr>
    <w:rPr>
      <w:rFonts w:ascii="Times New Roman" w:eastAsia="Times New Roman" w:hAnsi="Times New Roman" w:cs="Times New Roman"/>
      <w:sz w:val="24"/>
      <w:szCs w:val="24"/>
      <w:lang w:val="en-GB"/>
    </w:rPr>
  </w:style>
  <w:style w:type="paragraph" w:customStyle="1" w:styleId="CG-Title-Center">
    <w:name w:val="CG-Title-Center"/>
    <w:basedOn w:val="a1"/>
    <w:next w:val="a1"/>
    <w:qFormat/>
    <w:pPr>
      <w:keepNext/>
      <w:spacing w:after="240" w:line="240" w:lineRule="auto"/>
      <w:jc w:val="center"/>
    </w:pPr>
    <w:rPr>
      <w:rFonts w:ascii="Times New Roman" w:eastAsia="Times New Roman" w:hAnsi="Times New Roman" w:cs="Times New Roman"/>
      <w:sz w:val="24"/>
      <w:szCs w:val="24"/>
      <w:lang w:val="en-GB"/>
    </w:rPr>
  </w:style>
  <w:style w:type="paragraph" w:customStyle="1" w:styleId="ListAlpha1">
    <w:name w:val="List Alpha 1"/>
    <w:basedOn w:val="a1"/>
    <w:next w:val="a2"/>
    <w:qFormat/>
    <w:pPr>
      <w:tabs>
        <w:tab w:val="left" w:pos="22"/>
        <w:tab w:val="left" w:pos="624"/>
        <w:tab w:val="left" w:pos="720"/>
      </w:tabs>
      <w:spacing w:after="200" w:line="288" w:lineRule="auto"/>
      <w:ind w:left="624" w:hanging="624"/>
      <w:jc w:val="both"/>
    </w:pPr>
    <w:rPr>
      <w:rFonts w:ascii="Times New Roman" w:eastAsia="Times New Roman" w:hAnsi="Times New Roman" w:cs="Times New Roman"/>
      <w:lang w:val="en-GB"/>
    </w:rPr>
  </w:style>
  <w:style w:type="paragraph" w:customStyle="1" w:styleId="ListAlpha2">
    <w:name w:val="List Alpha 2"/>
    <w:basedOn w:val="a1"/>
    <w:next w:val="29"/>
    <w:qFormat/>
    <w:pPr>
      <w:tabs>
        <w:tab w:val="left" w:pos="50"/>
        <w:tab w:val="left" w:pos="1080"/>
        <w:tab w:val="left" w:pos="1417"/>
      </w:tabs>
      <w:spacing w:after="200" w:line="288" w:lineRule="auto"/>
      <w:ind w:left="1417" w:hanging="793"/>
      <w:jc w:val="both"/>
    </w:pPr>
    <w:rPr>
      <w:rFonts w:ascii="Times New Roman" w:eastAsia="Times New Roman" w:hAnsi="Times New Roman" w:cs="Times New Roman"/>
      <w:lang w:val="en-GB"/>
    </w:rPr>
  </w:style>
  <w:style w:type="paragraph" w:customStyle="1" w:styleId="ListAlpha3">
    <w:name w:val="List Alpha 3"/>
    <w:basedOn w:val="a1"/>
    <w:next w:val="35"/>
    <w:qFormat/>
    <w:pPr>
      <w:tabs>
        <w:tab w:val="left" w:pos="68"/>
        <w:tab w:val="left" w:pos="1800"/>
        <w:tab w:val="left" w:pos="1928"/>
      </w:tabs>
      <w:spacing w:after="200" w:line="288" w:lineRule="auto"/>
      <w:ind w:left="1928" w:hanging="511"/>
      <w:jc w:val="both"/>
    </w:pPr>
    <w:rPr>
      <w:rFonts w:ascii="Times New Roman" w:eastAsia="Times New Roman" w:hAnsi="Times New Roman" w:cs="Times New Roman"/>
      <w:lang w:val="en-GB"/>
    </w:rPr>
  </w:style>
  <w:style w:type="paragraph" w:customStyle="1" w:styleId="ListArabic4">
    <w:name w:val="List Arabic 4"/>
    <w:basedOn w:val="a1"/>
    <w:next w:val="a1"/>
    <w:qFormat/>
    <w:pPr>
      <w:tabs>
        <w:tab w:val="left" w:pos="86"/>
        <w:tab w:val="left" w:pos="1440"/>
        <w:tab w:val="left" w:pos="2438"/>
      </w:tabs>
      <w:spacing w:after="200" w:line="288" w:lineRule="auto"/>
      <w:ind w:left="2438" w:hanging="510"/>
      <w:jc w:val="both"/>
    </w:pPr>
    <w:rPr>
      <w:rFonts w:ascii="Times New Roman" w:eastAsia="Times New Roman" w:hAnsi="Times New Roman" w:cs="Times New Roman"/>
      <w:lang w:val="en-GB"/>
    </w:rPr>
  </w:style>
  <w:style w:type="paragraph" w:customStyle="1" w:styleId="ListLegal1">
    <w:name w:val="List Legal 1"/>
    <w:basedOn w:val="a1"/>
    <w:next w:val="a2"/>
    <w:qFormat/>
    <w:pPr>
      <w:tabs>
        <w:tab w:val="left" w:pos="22"/>
        <w:tab w:val="left" w:pos="624"/>
        <w:tab w:val="left" w:pos="2160"/>
      </w:tabs>
      <w:spacing w:after="200" w:line="288" w:lineRule="auto"/>
      <w:ind w:left="624" w:hanging="624"/>
      <w:jc w:val="both"/>
    </w:pPr>
    <w:rPr>
      <w:rFonts w:ascii="Times New Roman" w:eastAsia="Times New Roman" w:hAnsi="Times New Roman" w:cs="Times New Roman"/>
      <w:lang w:val="en-GB"/>
    </w:rPr>
  </w:style>
  <w:style w:type="paragraph" w:customStyle="1" w:styleId="ListLegal2">
    <w:name w:val="List Legal 2"/>
    <w:basedOn w:val="a1"/>
    <w:next w:val="a2"/>
    <w:qFormat/>
    <w:pPr>
      <w:tabs>
        <w:tab w:val="left" w:pos="22"/>
        <w:tab w:val="left" w:pos="624"/>
      </w:tabs>
      <w:spacing w:after="200" w:line="288" w:lineRule="auto"/>
      <w:ind w:left="624" w:hanging="624"/>
      <w:jc w:val="both"/>
    </w:pPr>
    <w:rPr>
      <w:rFonts w:ascii="Times New Roman" w:eastAsia="Times New Roman" w:hAnsi="Times New Roman" w:cs="Times New Roman"/>
      <w:lang w:val="en-GB"/>
    </w:rPr>
  </w:style>
  <w:style w:type="paragraph" w:customStyle="1" w:styleId="ListLegal3">
    <w:name w:val="List Legal 3"/>
    <w:basedOn w:val="a1"/>
    <w:next w:val="29"/>
    <w:qFormat/>
    <w:pPr>
      <w:tabs>
        <w:tab w:val="left" w:pos="50"/>
        <w:tab w:val="left" w:pos="1417"/>
        <w:tab w:val="left" w:pos="2869"/>
      </w:tabs>
      <w:spacing w:after="200" w:line="288" w:lineRule="auto"/>
      <w:ind w:left="1417" w:hanging="793"/>
      <w:jc w:val="both"/>
    </w:pPr>
    <w:rPr>
      <w:rFonts w:ascii="Times New Roman" w:eastAsia="Times New Roman" w:hAnsi="Times New Roman" w:cs="Times New Roman"/>
      <w:lang w:val="en-GB"/>
    </w:rPr>
  </w:style>
  <w:style w:type="paragraph" w:customStyle="1" w:styleId="ListRoman1">
    <w:name w:val="List Roman 1"/>
    <w:basedOn w:val="a1"/>
    <w:next w:val="a2"/>
    <w:qFormat/>
    <w:pPr>
      <w:tabs>
        <w:tab w:val="left" w:pos="22"/>
        <w:tab w:val="left" w:pos="624"/>
        <w:tab w:val="left" w:pos="1800"/>
      </w:tabs>
      <w:spacing w:after="200" w:line="288" w:lineRule="auto"/>
      <w:ind w:left="624" w:hanging="624"/>
      <w:jc w:val="both"/>
    </w:pPr>
    <w:rPr>
      <w:rFonts w:ascii="Times New Roman" w:eastAsia="Times New Roman" w:hAnsi="Times New Roman" w:cs="Times New Roman"/>
      <w:lang w:val="en-GB"/>
    </w:rPr>
  </w:style>
  <w:style w:type="paragraph" w:customStyle="1" w:styleId="ListRoman2">
    <w:name w:val="List Roman 2"/>
    <w:basedOn w:val="a1"/>
    <w:next w:val="29"/>
    <w:qFormat/>
    <w:pPr>
      <w:tabs>
        <w:tab w:val="left" w:pos="50"/>
        <w:tab w:val="left" w:pos="1080"/>
        <w:tab w:val="left" w:pos="1344"/>
      </w:tabs>
      <w:spacing w:after="200" w:line="288" w:lineRule="auto"/>
      <w:ind w:left="1134" w:hanging="510"/>
      <w:jc w:val="both"/>
    </w:pPr>
    <w:rPr>
      <w:rFonts w:ascii="Times New Roman" w:eastAsia="Times New Roman" w:hAnsi="Times New Roman" w:cs="Times New Roman"/>
      <w:lang w:val="en-GB"/>
    </w:rPr>
  </w:style>
  <w:style w:type="paragraph" w:customStyle="1" w:styleId="ListRoman3">
    <w:name w:val="List Roman 3"/>
    <w:basedOn w:val="a1"/>
    <w:next w:val="35"/>
    <w:qFormat/>
    <w:pPr>
      <w:tabs>
        <w:tab w:val="left" w:pos="68"/>
        <w:tab w:val="left" w:pos="1928"/>
      </w:tabs>
      <w:spacing w:after="200" w:line="288" w:lineRule="auto"/>
      <w:ind w:left="1928" w:hanging="511"/>
      <w:jc w:val="both"/>
    </w:pPr>
    <w:rPr>
      <w:rFonts w:ascii="Times New Roman" w:eastAsia="Times New Roman" w:hAnsi="Times New Roman" w:cs="Times New Roman"/>
      <w:lang w:val="en-GB"/>
    </w:rPr>
  </w:style>
  <w:style w:type="paragraph" w:customStyle="1" w:styleId="PartHeadings">
    <w:name w:val="Part Headings"/>
    <w:basedOn w:val="a1"/>
    <w:next w:val="a1"/>
    <w:qFormat/>
    <w:pPr>
      <w:tabs>
        <w:tab w:val="left" w:pos="360"/>
        <w:tab w:val="left" w:pos="1080"/>
      </w:tabs>
      <w:spacing w:after="300" w:line="312" w:lineRule="auto"/>
      <w:jc w:val="center"/>
      <w:outlineLvl w:val="2"/>
    </w:pPr>
    <w:rPr>
      <w:rFonts w:ascii="Times New Roman" w:eastAsia="Times New Roman" w:hAnsi="Times New Roman" w:cs="Times New Roman"/>
      <w:b/>
      <w:bCs/>
      <w:sz w:val="21"/>
      <w:szCs w:val="21"/>
      <w:lang w:val="en-GB"/>
    </w:rPr>
  </w:style>
  <w:style w:type="paragraph" w:customStyle="1" w:styleId="CG-SingleSp1">
    <w:name w:val="CG-Single Sp 1"/>
    <w:basedOn w:val="a1"/>
    <w:qFormat/>
    <w:pPr>
      <w:spacing w:after="240" w:line="240" w:lineRule="auto"/>
      <w:ind w:firstLine="1440"/>
    </w:pPr>
    <w:rPr>
      <w:rFonts w:ascii="Times New Roman" w:eastAsia="Times New Roman" w:hAnsi="Times New Roman" w:cs="Times New Roman"/>
      <w:sz w:val="24"/>
      <w:szCs w:val="24"/>
      <w:lang w:val="en-GB"/>
    </w:rPr>
  </w:style>
  <w:style w:type="paragraph" w:customStyle="1" w:styleId="FR2">
    <w:name w:val="FR2"/>
    <w:qFormat/>
    <w:pPr>
      <w:widowControl w:val="0"/>
    </w:pPr>
    <w:rPr>
      <w:rFonts w:ascii="Arial" w:eastAsia="Times New Roman" w:hAnsi="Arial"/>
      <w:sz w:val="16"/>
      <w:szCs w:val="16"/>
    </w:rPr>
  </w:style>
  <w:style w:type="paragraph" w:customStyle="1" w:styleId="CG-Bullet">
    <w:name w:val="CG-Bullet"/>
    <w:basedOn w:val="a1"/>
    <w:qFormat/>
    <w:pPr>
      <w:tabs>
        <w:tab w:val="left" w:pos="360"/>
        <w:tab w:val="left" w:pos="1440"/>
      </w:tabs>
      <w:spacing w:after="0" w:line="240" w:lineRule="auto"/>
      <w:ind w:left="360" w:hanging="360"/>
    </w:pPr>
    <w:rPr>
      <w:rFonts w:ascii="Times New Roman" w:eastAsia="Times New Roman" w:hAnsi="Times New Roman" w:cs="Times New Roman"/>
      <w:sz w:val="24"/>
      <w:szCs w:val="24"/>
      <w:lang w:val="en-GB"/>
    </w:rPr>
  </w:style>
  <w:style w:type="paragraph" w:customStyle="1" w:styleId="TextBullet1">
    <w:name w:val="Text Bullet 1"/>
    <w:basedOn w:val="a1"/>
    <w:qFormat/>
    <w:pPr>
      <w:tabs>
        <w:tab w:val="left" w:pos="3600"/>
      </w:tabs>
      <w:spacing w:before="120" w:after="240" w:line="240" w:lineRule="auto"/>
      <w:ind w:left="3600" w:hanging="720"/>
      <w:jc w:val="both"/>
    </w:pPr>
    <w:rPr>
      <w:rFonts w:ascii="Times New Roman" w:eastAsia="Times New Roman" w:hAnsi="Times New Roman" w:cs="Times New Roman"/>
      <w:lang w:val="en-GB"/>
    </w:rPr>
  </w:style>
  <w:style w:type="paragraph" w:customStyle="1" w:styleId="AZ">
    <w:name w:val="AZ"/>
    <w:basedOn w:val="TextBullet1"/>
    <w:qFormat/>
    <w:pPr>
      <w:tabs>
        <w:tab w:val="clear" w:pos="3600"/>
        <w:tab w:val="left" w:pos="624"/>
      </w:tabs>
      <w:spacing w:before="0"/>
      <w:ind w:left="624" w:hanging="624"/>
      <w:jc w:val="left"/>
    </w:pPr>
    <w:rPr>
      <w:sz w:val="20"/>
      <w:szCs w:val="20"/>
    </w:rPr>
  </w:style>
  <w:style w:type="paragraph" w:customStyle="1" w:styleId="1f5">
    <w:name w:val="Текст1"/>
    <w:basedOn w:val="a1"/>
    <w:qFormat/>
    <w:pPr>
      <w:spacing w:before="120" w:after="240" w:line="240" w:lineRule="auto"/>
      <w:jc w:val="both"/>
    </w:pPr>
    <w:rPr>
      <w:rFonts w:ascii="Times New Roman" w:eastAsia="Times New Roman" w:hAnsi="Times New Roman" w:cs="Times New Roman"/>
      <w:lang w:val="en-GB"/>
    </w:rPr>
  </w:style>
  <w:style w:type="paragraph" w:customStyle="1" w:styleId="CaptionsRiskFactors">
    <w:name w:val="Captions/Risk Factors"/>
    <w:basedOn w:val="a1"/>
    <w:qFormat/>
    <w:pPr>
      <w:keepNext/>
      <w:spacing w:after="240" w:line="240" w:lineRule="auto"/>
    </w:pPr>
    <w:rPr>
      <w:rFonts w:ascii="Times New Roman" w:eastAsia="Times New Roman" w:hAnsi="Times New Roman" w:cs="Times New Roman"/>
      <w:b/>
      <w:bCs/>
      <w:i/>
      <w:iCs/>
      <w:sz w:val="20"/>
      <w:szCs w:val="20"/>
      <w:lang w:val="en-GB"/>
    </w:rPr>
  </w:style>
  <w:style w:type="paragraph" w:customStyle="1" w:styleId="Paragraph">
    <w:name w:val="Paragraph"/>
    <w:basedOn w:val="a1"/>
    <w:qFormat/>
    <w:pPr>
      <w:spacing w:before="40" w:after="120" w:line="240" w:lineRule="auto"/>
      <w:ind w:firstLine="400"/>
    </w:pPr>
    <w:rPr>
      <w:rFonts w:ascii="Times New Roman" w:eastAsia="Times New Roman" w:hAnsi="Times New Roman" w:cs="Times New Roman"/>
      <w:color w:val="000000"/>
      <w:sz w:val="21"/>
      <w:szCs w:val="21"/>
      <w:lang w:val="en-GB"/>
    </w:rPr>
  </w:style>
  <w:style w:type="paragraph" w:customStyle="1" w:styleId="Heading21">
    <w:name w:val="Heading21"/>
    <w:basedOn w:val="a1"/>
    <w:qFormat/>
    <w:pPr>
      <w:keepNext/>
      <w:spacing w:before="20" w:after="80" w:line="240" w:lineRule="auto"/>
    </w:pPr>
    <w:rPr>
      <w:rFonts w:ascii="Times New Roman" w:eastAsia="Times New Roman" w:hAnsi="Times New Roman" w:cs="Times New Roman"/>
      <w:b/>
      <w:bCs/>
      <w:color w:val="000000"/>
      <w:sz w:val="21"/>
      <w:szCs w:val="21"/>
      <w:lang w:val="en-GB"/>
    </w:rPr>
  </w:style>
  <w:style w:type="paragraph" w:customStyle="1" w:styleId="Footnote">
    <w:name w:val="Footnote"/>
    <w:basedOn w:val="a1"/>
    <w:qFormat/>
    <w:pPr>
      <w:spacing w:before="40" w:after="120" w:line="240" w:lineRule="auto"/>
    </w:pPr>
    <w:rPr>
      <w:rFonts w:ascii="Times New Roman" w:eastAsia="Times New Roman" w:hAnsi="Times New Roman" w:cs="Times New Roman"/>
      <w:color w:val="000000"/>
      <w:sz w:val="21"/>
      <w:szCs w:val="21"/>
      <w:lang w:val="en-GB"/>
    </w:rPr>
  </w:style>
  <w:style w:type="paragraph" w:customStyle="1" w:styleId="110">
    <w:name w:val="Заголовок 11"/>
    <w:basedOn w:val="a1"/>
    <w:link w:val="Heading1Char"/>
    <w:uiPriority w:val="99"/>
    <w:semiHidden/>
    <w:qFormat/>
    <w:pPr>
      <w:keepNext/>
      <w:spacing w:before="40" w:after="120" w:line="240" w:lineRule="auto"/>
      <w:jc w:val="center"/>
    </w:pPr>
    <w:rPr>
      <w:rFonts w:ascii="Times New Roman" w:eastAsia="Times New Roman" w:hAnsi="Times New Roman" w:cs="Times New Roman"/>
      <w:b/>
      <w:bCs/>
      <w:color w:val="000000"/>
      <w:sz w:val="21"/>
      <w:szCs w:val="21"/>
      <w:lang w:val="en-GB"/>
    </w:rPr>
  </w:style>
  <w:style w:type="paragraph" w:customStyle="1" w:styleId="spacer">
    <w:name w:val="spacer"/>
    <w:basedOn w:val="a1"/>
    <w:qFormat/>
    <w:pPr>
      <w:spacing w:before="200" w:after="0" w:line="240" w:lineRule="auto"/>
    </w:pPr>
    <w:rPr>
      <w:rFonts w:ascii="Times New Roman" w:eastAsia="Times New Roman" w:hAnsi="Times New Roman" w:cs="Times New Roman"/>
      <w:sz w:val="24"/>
      <w:szCs w:val="24"/>
      <w:lang w:val="en-GB"/>
    </w:rPr>
  </w:style>
  <w:style w:type="paragraph" w:customStyle="1" w:styleId="Heading31">
    <w:name w:val="Heading31"/>
    <w:basedOn w:val="a1"/>
    <w:qFormat/>
    <w:pPr>
      <w:keepNext/>
      <w:spacing w:before="20" w:after="80" w:line="240" w:lineRule="auto"/>
      <w:ind w:firstLine="240"/>
    </w:pPr>
    <w:rPr>
      <w:rFonts w:ascii="Times New Roman" w:eastAsia="Times New Roman" w:hAnsi="Times New Roman" w:cs="Times New Roman"/>
      <w:i/>
      <w:iCs/>
      <w:color w:val="000000"/>
      <w:sz w:val="21"/>
      <w:szCs w:val="21"/>
      <w:lang w:val="en-GB"/>
    </w:rPr>
  </w:style>
  <w:style w:type="paragraph" w:customStyle="1" w:styleId="CG-SingleSp">
    <w:name w:val="CG-Single Sp"/>
    <w:basedOn w:val="a1"/>
    <w:qFormat/>
    <w:pPr>
      <w:spacing w:after="240" w:line="240" w:lineRule="auto"/>
    </w:pPr>
    <w:rPr>
      <w:rFonts w:ascii="Times New Roman" w:eastAsia="Times New Roman" w:hAnsi="Times New Roman" w:cs="Times New Roman"/>
      <w:lang w:val="en-US"/>
    </w:rPr>
  </w:style>
  <w:style w:type="paragraph" w:customStyle="1" w:styleId="Style1">
    <w:name w:val="Style1"/>
    <w:basedOn w:val="a1"/>
    <w:qFormat/>
    <w:pPr>
      <w:spacing w:after="0" w:line="240" w:lineRule="auto"/>
      <w:jc w:val="both"/>
    </w:pPr>
    <w:rPr>
      <w:rFonts w:ascii="Times New Roman" w:eastAsia="MS Mincho" w:hAnsi="Times New Roman" w:cs="Times New Roman"/>
      <w:sz w:val="20"/>
      <w:szCs w:val="20"/>
      <w:lang w:val="en-GB"/>
    </w:rPr>
  </w:style>
  <w:style w:type="paragraph" w:customStyle="1" w:styleId="Style2">
    <w:name w:val="Style2"/>
    <w:basedOn w:val="a1"/>
    <w:qFormat/>
    <w:pPr>
      <w:spacing w:after="0" w:line="240" w:lineRule="auto"/>
      <w:jc w:val="both"/>
    </w:pPr>
    <w:rPr>
      <w:rFonts w:ascii="Times New Roman" w:eastAsia="MS Mincho" w:hAnsi="Times New Roman" w:cs="Times New Roman"/>
      <w:sz w:val="20"/>
      <w:szCs w:val="20"/>
      <w:lang w:val="en-GB"/>
    </w:rPr>
  </w:style>
  <w:style w:type="paragraph" w:customStyle="1" w:styleId="Style3">
    <w:name w:val="Style3"/>
    <w:basedOn w:val="a1"/>
    <w:qFormat/>
    <w:pPr>
      <w:spacing w:after="0" w:line="240" w:lineRule="auto"/>
      <w:jc w:val="both"/>
    </w:pPr>
    <w:rPr>
      <w:rFonts w:ascii="Times New Roman" w:eastAsia="MS Mincho" w:hAnsi="Times New Roman" w:cs="Times New Roman"/>
      <w:sz w:val="20"/>
      <w:szCs w:val="20"/>
      <w:lang w:val="en-GB"/>
    </w:rPr>
  </w:style>
  <w:style w:type="paragraph" w:customStyle="1" w:styleId="Paragraph-Cover">
    <w:name w:val="Paragraph-Cover"/>
    <w:basedOn w:val="a1"/>
    <w:qFormat/>
    <w:pPr>
      <w:spacing w:before="20" w:after="60" w:line="240" w:lineRule="auto"/>
      <w:ind w:firstLine="400"/>
    </w:pPr>
    <w:rPr>
      <w:rFonts w:ascii="Times New Roman" w:eastAsia="Times New Roman" w:hAnsi="Times New Roman" w:cs="Times New Roman"/>
      <w:color w:val="000000"/>
      <w:sz w:val="21"/>
      <w:szCs w:val="21"/>
      <w:lang w:val="en-US"/>
    </w:rPr>
  </w:style>
  <w:style w:type="paragraph" w:customStyle="1" w:styleId="leftitalicbold">
    <w:name w:val="left italic bold"/>
    <w:basedOn w:val="a1"/>
    <w:qFormat/>
    <w:pPr>
      <w:keepNext/>
      <w:spacing w:after="240" w:line="240" w:lineRule="auto"/>
    </w:pPr>
    <w:rPr>
      <w:rFonts w:ascii="Times New Roman" w:eastAsia="Times New Roman" w:hAnsi="Times New Roman" w:cs="Times New Roman"/>
      <w:b/>
      <w:bCs/>
      <w:i/>
      <w:iCs/>
      <w:lang w:val="en-US"/>
    </w:rPr>
  </w:style>
  <w:style w:type="paragraph" w:customStyle="1" w:styleId="1f6">
    <w:name w:val="??????1"/>
    <w:basedOn w:val="a1"/>
    <w:qFormat/>
    <w:pPr>
      <w:widowControl w:val="0"/>
      <w:spacing w:after="263" w:line="240" w:lineRule="auto"/>
      <w:jc w:val="center"/>
    </w:pPr>
    <w:rPr>
      <w:rFonts w:ascii="Times New Roman" w:eastAsia="Times New Roman" w:hAnsi="Times New Roman" w:cs="Times New Roman"/>
      <w:color w:val="FF0000"/>
      <w:lang w:val="en-US"/>
    </w:rPr>
  </w:style>
  <w:style w:type="paragraph" w:customStyle="1" w:styleId="affffd">
    <w:name w:val="??????"/>
    <w:basedOn w:val="a1"/>
    <w:next w:val="1f6"/>
    <w:qFormat/>
    <w:pPr>
      <w:widowControl w:val="0"/>
      <w:spacing w:after="263" w:line="240" w:lineRule="auto"/>
      <w:jc w:val="center"/>
    </w:pPr>
    <w:rPr>
      <w:rFonts w:ascii="Times New Roman" w:eastAsia="Times New Roman" w:hAnsi="Times New Roman" w:cs="Times New Roman"/>
      <w:color w:val="FF0000"/>
      <w:lang w:val="en-US"/>
    </w:rPr>
  </w:style>
  <w:style w:type="paragraph" w:customStyle="1" w:styleId="Char11">
    <w:name w:val="Char11"/>
    <w:basedOn w:val="a1"/>
    <w:qFormat/>
    <w:pPr>
      <w:spacing w:after="60" w:line="240" w:lineRule="auto"/>
    </w:pPr>
    <w:rPr>
      <w:rFonts w:ascii="Times New Roman" w:eastAsia="Times New Roman" w:hAnsi="Times New Roman" w:cs="Times New Roman"/>
      <w:sz w:val="20"/>
      <w:szCs w:val="20"/>
    </w:rPr>
  </w:style>
  <w:style w:type="paragraph" w:customStyle="1" w:styleId="Char1">
    <w:name w:val="Char1"/>
    <w:basedOn w:val="a1"/>
    <w:next w:val="Char11"/>
    <w:qFormat/>
    <w:pPr>
      <w:spacing w:after="60" w:line="240" w:lineRule="auto"/>
    </w:pPr>
    <w:rPr>
      <w:rFonts w:ascii="Times New Roman" w:eastAsia="Times New Roman" w:hAnsi="Times New Roman" w:cs="Times New Roman"/>
      <w:sz w:val="20"/>
      <w:szCs w:val="20"/>
    </w:rPr>
  </w:style>
  <w:style w:type="paragraph" w:customStyle="1" w:styleId="SinglePara">
    <w:name w:val="Single Para"/>
    <w:basedOn w:val="a1"/>
    <w:qFormat/>
    <w:pPr>
      <w:spacing w:after="200" w:line="240" w:lineRule="auto"/>
      <w:ind w:firstLine="720"/>
      <w:jc w:val="both"/>
    </w:pPr>
    <w:rPr>
      <w:rFonts w:ascii="Times New Roman" w:eastAsia="Times New Roman" w:hAnsi="Times New Roman" w:cs="Times New Roman"/>
      <w:sz w:val="18"/>
      <w:szCs w:val="18"/>
      <w:lang w:val="en-US"/>
    </w:rPr>
  </w:style>
  <w:style w:type="paragraph" w:customStyle="1" w:styleId="ABC-paragrahinNotes">
    <w:name w:val="ABC - paragrah in Notes"/>
    <w:qFormat/>
    <w:pPr>
      <w:spacing w:after="240"/>
      <w:jc w:val="both"/>
    </w:pPr>
    <w:rPr>
      <w:rFonts w:ascii="Arial" w:eastAsia="Times New Roman" w:hAnsi="Arial"/>
      <w:sz w:val="18"/>
      <w:szCs w:val="18"/>
      <w:lang w:val="en-GB"/>
    </w:rPr>
  </w:style>
  <w:style w:type="paragraph" w:customStyle="1" w:styleId="SingleParaFlush">
    <w:name w:val="Single Para Flush"/>
    <w:basedOn w:val="SinglePara"/>
    <w:qFormat/>
    <w:pPr>
      <w:spacing w:before="240" w:after="240"/>
      <w:ind w:firstLine="0"/>
      <w:jc w:val="left"/>
    </w:pPr>
    <w:rPr>
      <w:sz w:val="20"/>
      <w:szCs w:val="20"/>
      <w:lang w:val="en-GB"/>
    </w:rPr>
  </w:style>
  <w:style w:type="paragraph" w:customStyle="1" w:styleId="TableFootNote2">
    <w:name w:val="Table Foot Note 2"/>
    <w:qFormat/>
    <w:rPr>
      <w:rFonts w:ascii="Times New Roman" w:eastAsia="Times New Roman" w:hAnsi="Times New Roman" w:cs="Times New Roman"/>
      <w:sz w:val="16"/>
      <w:szCs w:val="16"/>
      <w:lang w:val="en-GB"/>
    </w:rPr>
  </w:style>
  <w:style w:type="paragraph" w:customStyle="1" w:styleId="TableFootNote1">
    <w:name w:val="Table Foot Note 1"/>
    <w:next w:val="a2"/>
    <w:qFormat/>
    <w:rPr>
      <w:rFonts w:ascii="Times New Roman" w:eastAsia="Times New Roman" w:hAnsi="Times New Roman" w:cs="Times New Roman"/>
      <w:sz w:val="18"/>
      <w:szCs w:val="18"/>
      <w:lang w:val="en-GB"/>
    </w:rPr>
  </w:style>
  <w:style w:type="paragraph" w:customStyle="1" w:styleId="1f7">
    <w:name w:val="1"/>
    <w:basedOn w:val="a1"/>
    <w:qFormat/>
    <w:pPr>
      <w:tabs>
        <w:tab w:val="left" w:pos="1069"/>
      </w:tabs>
      <w:spacing w:line="240" w:lineRule="exact"/>
      <w:ind w:left="1069" w:hanging="360"/>
      <w:jc w:val="both"/>
    </w:pPr>
    <w:rPr>
      <w:rFonts w:ascii="Times New Roman" w:eastAsia="Times New Roman" w:hAnsi="Times New Roman" w:cs="Times New Roman"/>
      <w:sz w:val="20"/>
      <w:szCs w:val="20"/>
      <w:lang w:val="en-US"/>
    </w:rPr>
  </w:style>
  <w:style w:type="paragraph" w:customStyle="1" w:styleId="leftitalicbold0">
    <w:name w:val="leftitalicbold"/>
    <w:basedOn w:val="a1"/>
    <w:qFormat/>
    <w:pPr>
      <w:spacing w:beforeAutospacing="1" w:afterAutospacing="1" w:line="240" w:lineRule="auto"/>
    </w:pPr>
    <w:rPr>
      <w:rFonts w:ascii="Times New Roman" w:eastAsia="Times New Roman" w:hAnsi="Times New Roman" w:cs="Times New Roman"/>
      <w:sz w:val="24"/>
      <w:szCs w:val="24"/>
      <w:lang w:val="en-US"/>
    </w:rPr>
  </w:style>
  <w:style w:type="paragraph" w:customStyle="1" w:styleId="XHeading2">
    <w:name w:val="XHeading 2"/>
    <w:basedOn w:val="a1"/>
    <w:next w:val="a2"/>
    <w:qFormat/>
    <w:pPr>
      <w:spacing w:after="240" w:line="240" w:lineRule="auto"/>
      <w:ind w:firstLine="720"/>
      <w:outlineLvl w:val="1"/>
    </w:pPr>
    <w:rPr>
      <w:rFonts w:ascii="Times New Roman" w:eastAsia="Times New Roman" w:hAnsi="Times New Roman" w:cs="Times New Roman"/>
      <w:sz w:val="20"/>
      <w:szCs w:val="20"/>
      <w:lang w:val="en-US"/>
    </w:rPr>
  </w:style>
  <w:style w:type="paragraph" w:customStyle="1" w:styleId="XHeading1">
    <w:name w:val="XHeading 1"/>
    <w:basedOn w:val="a1"/>
    <w:next w:val="XHeading2"/>
    <w:qFormat/>
    <w:pPr>
      <w:keepNext/>
      <w:spacing w:after="240" w:line="240" w:lineRule="auto"/>
      <w:jc w:val="center"/>
      <w:outlineLvl w:val="0"/>
    </w:pPr>
    <w:rPr>
      <w:rFonts w:ascii="Times New Roman" w:eastAsia="Times New Roman" w:hAnsi="Times New Roman" w:cs="Times New Roman"/>
      <w:caps/>
      <w:sz w:val="20"/>
      <w:szCs w:val="20"/>
      <w:u w:val="single"/>
      <w:lang w:val="en-US"/>
    </w:rPr>
  </w:style>
  <w:style w:type="paragraph" w:customStyle="1" w:styleId="XHeading3">
    <w:name w:val="XHeading 3"/>
    <w:basedOn w:val="a1"/>
    <w:next w:val="a2"/>
    <w:qFormat/>
    <w:pPr>
      <w:spacing w:after="240" w:line="240" w:lineRule="auto"/>
      <w:ind w:left="720" w:firstLine="720"/>
      <w:outlineLvl w:val="2"/>
    </w:pPr>
    <w:rPr>
      <w:rFonts w:ascii="Times New Roman" w:eastAsia="Times New Roman" w:hAnsi="Times New Roman" w:cs="Times New Roman"/>
      <w:sz w:val="20"/>
      <w:szCs w:val="20"/>
      <w:lang w:val="en-US"/>
    </w:rPr>
  </w:style>
  <w:style w:type="paragraph" w:customStyle="1" w:styleId="XHeading4">
    <w:name w:val="XHeading 4"/>
    <w:basedOn w:val="a1"/>
    <w:next w:val="a2"/>
    <w:qFormat/>
    <w:pPr>
      <w:spacing w:after="240" w:line="240" w:lineRule="auto"/>
      <w:ind w:left="1440" w:firstLine="720"/>
      <w:outlineLvl w:val="3"/>
    </w:pPr>
    <w:rPr>
      <w:rFonts w:ascii="Times New Roman" w:eastAsia="Times New Roman" w:hAnsi="Times New Roman" w:cs="Times New Roman"/>
      <w:sz w:val="20"/>
      <w:szCs w:val="20"/>
      <w:lang w:val="en-US"/>
    </w:rPr>
  </w:style>
  <w:style w:type="paragraph" w:customStyle="1" w:styleId="XHeading5">
    <w:name w:val="XHeading 5"/>
    <w:basedOn w:val="a1"/>
    <w:next w:val="a2"/>
    <w:qFormat/>
    <w:pPr>
      <w:spacing w:after="240" w:line="240" w:lineRule="auto"/>
      <w:ind w:left="2160" w:firstLine="720"/>
      <w:outlineLvl w:val="4"/>
    </w:pPr>
    <w:rPr>
      <w:rFonts w:ascii="Times New Roman" w:eastAsia="Times New Roman" w:hAnsi="Times New Roman" w:cs="Times New Roman"/>
      <w:sz w:val="20"/>
      <w:szCs w:val="20"/>
      <w:lang w:val="en-US"/>
    </w:rPr>
  </w:style>
  <w:style w:type="paragraph" w:customStyle="1" w:styleId="XHeading6">
    <w:name w:val="XHeading 6"/>
    <w:basedOn w:val="a1"/>
    <w:next w:val="a2"/>
    <w:qFormat/>
    <w:pPr>
      <w:spacing w:after="240" w:line="240" w:lineRule="auto"/>
      <w:ind w:left="4320" w:hanging="720"/>
      <w:outlineLvl w:val="5"/>
    </w:pPr>
    <w:rPr>
      <w:rFonts w:ascii="Times New Roman" w:eastAsia="Times New Roman" w:hAnsi="Times New Roman" w:cs="Times New Roman"/>
      <w:sz w:val="20"/>
      <w:szCs w:val="20"/>
      <w:lang w:val="en-US"/>
    </w:rPr>
  </w:style>
  <w:style w:type="paragraph" w:customStyle="1" w:styleId="XHeading7">
    <w:name w:val="XHeading 7"/>
    <w:basedOn w:val="a1"/>
    <w:next w:val="a2"/>
    <w:qFormat/>
    <w:pPr>
      <w:spacing w:after="240" w:line="240" w:lineRule="auto"/>
      <w:ind w:left="4320" w:hanging="720"/>
      <w:outlineLvl w:val="6"/>
    </w:pPr>
    <w:rPr>
      <w:rFonts w:ascii="Times New Roman" w:eastAsia="Times New Roman" w:hAnsi="Times New Roman" w:cs="Times New Roman"/>
      <w:sz w:val="20"/>
      <w:szCs w:val="20"/>
      <w:lang w:val="en-US"/>
    </w:rPr>
  </w:style>
  <w:style w:type="paragraph" w:customStyle="1" w:styleId="XHeading8">
    <w:name w:val="XHeading 8"/>
    <w:basedOn w:val="a1"/>
    <w:next w:val="a2"/>
    <w:qFormat/>
    <w:pPr>
      <w:spacing w:after="240" w:line="240" w:lineRule="auto"/>
      <w:ind w:left="4320" w:hanging="720"/>
      <w:outlineLvl w:val="7"/>
    </w:pPr>
    <w:rPr>
      <w:rFonts w:ascii="Times New Roman" w:eastAsia="Times New Roman" w:hAnsi="Times New Roman" w:cs="Times New Roman"/>
      <w:sz w:val="20"/>
      <w:szCs w:val="20"/>
      <w:lang w:val="en-US"/>
    </w:rPr>
  </w:style>
  <w:style w:type="paragraph" w:customStyle="1" w:styleId="XHeading9">
    <w:name w:val="XHeading 9"/>
    <w:basedOn w:val="a1"/>
    <w:next w:val="a2"/>
    <w:qFormat/>
    <w:pPr>
      <w:spacing w:after="240" w:line="240" w:lineRule="auto"/>
      <w:ind w:left="4320" w:hanging="720"/>
      <w:outlineLvl w:val="8"/>
    </w:pPr>
    <w:rPr>
      <w:rFonts w:ascii="Times New Roman" w:eastAsia="Times New Roman" w:hAnsi="Times New Roman" w:cs="Times New Roman"/>
      <w:sz w:val="20"/>
      <w:szCs w:val="20"/>
      <w:lang w:val="en-US"/>
    </w:rPr>
  </w:style>
  <w:style w:type="paragraph" w:customStyle="1" w:styleId="Head">
    <w:name w:val="Head"/>
    <w:basedOn w:val="a1"/>
    <w:next w:val="a1"/>
    <w:qFormat/>
    <w:pPr>
      <w:keepNext/>
      <w:spacing w:before="295" w:after="175" w:line="240" w:lineRule="auto"/>
      <w:ind w:left="425"/>
      <w:jc w:val="both"/>
    </w:pPr>
    <w:rPr>
      <w:rFonts w:ascii="Times New Roman" w:eastAsia="Times New Roman" w:hAnsi="Times New Roman" w:cs="Times New Roman"/>
      <w:b/>
      <w:bCs/>
      <w:lang w:val="en-US"/>
    </w:rPr>
  </w:style>
  <w:style w:type="paragraph" w:customStyle="1" w:styleId="Note">
    <w:name w:val="Note"/>
    <w:basedOn w:val="a1"/>
    <w:qFormat/>
    <w:pPr>
      <w:tabs>
        <w:tab w:val="left" w:pos="425"/>
      </w:tabs>
      <w:spacing w:before="40" w:after="40" w:line="240" w:lineRule="auto"/>
      <w:ind w:left="425" w:hanging="425"/>
      <w:jc w:val="both"/>
    </w:pPr>
    <w:rPr>
      <w:rFonts w:ascii="Times New Roman" w:eastAsia="Times New Roman" w:hAnsi="Times New Roman" w:cs="Times New Roman"/>
      <w:sz w:val="18"/>
      <w:szCs w:val="18"/>
      <w:lang w:val="en-US"/>
    </w:rPr>
  </w:style>
  <w:style w:type="paragraph" w:customStyle="1" w:styleId="Roman2-i">
    <w:name w:val="Roman 2-(i)"/>
    <w:basedOn w:val="a1"/>
    <w:qFormat/>
    <w:pPr>
      <w:tabs>
        <w:tab w:val="left" w:pos="992"/>
      </w:tabs>
      <w:spacing w:after="0" w:line="240" w:lineRule="auto"/>
      <w:ind w:left="992" w:hanging="567"/>
      <w:jc w:val="both"/>
    </w:pPr>
    <w:rPr>
      <w:rFonts w:ascii="Times New Roman" w:eastAsia="Times New Roman" w:hAnsi="Times New Roman" w:cs="Times New Roman"/>
      <w:sz w:val="20"/>
      <w:szCs w:val="20"/>
      <w:lang w:val="en-US"/>
    </w:rPr>
  </w:style>
  <w:style w:type="paragraph" w:customStyle="1" w:styleId="Roman2-I1">
    <w:name w:val="Roman 2-(I)1"/>
    <w:basedOn w:val="a1"/>
    <w:qFormat/>
    <w:pPr>
      <w:tabs>
        <w:tab w:val="left" w:pos="992"/>
      </w:tabs>
      <w:spacing w:after="0" w:line="240" w:lineRule="auto"/>
      <w:ind w:left="992" w:hanging="567"/>
      <w:jc w:val="both"/>
    </w:pPr>
    <w:rPr>
      <w:rFonts w:ascii="Times New Roman" w:eastAsia="Times New Roman" w:hAnsi="Times New Roman" w:cs="Times New Roman"/>
      <w:sz w:val="20"/>
      <w:szCs w:val="20"/>
      <w:lang w:val="en-US"/>
    </w:rPr>
  </w:style>
  <w:style w:type="paragraph" w:customStyle="1" w:styleId="Roman2-I0">
    <w:name w:val="Roman 2-I"/>
    <w:basedOn w:val="a1"/>
    <w:qFormat/>
    <w:pPr>
      <w:tabs>
        <w:tab w:val="left" w:pos="992"/>
      </w:tabs>
      <w:spacing w:after="0" w:line="240" w:lineRule="auto"/>
      <w:ind w:left="992" w:hanging="567"/>
      <w:jc w:val="both"/>
    </w:pPr>
    <w:rPr>
      <w:rFonts w:ascii="Times New Roman" w:eastAsia="Times New Roman" w:hAnsi="Times New Roman" w:cs="Times New Roman"/>
      <w:sz w:val="20"/>
      <w:szCs w:val="20"/>
      <w:lang w:val="en-US"/>
    </w:rPr>
  </w:style>
  <w:style w:type="paragraph" w:customStyle="1" w:styleId="Roman3-i">
    <w:name w:val="Roman 3-(i)"/>
    <w:basedOn w:val="a1"/>
    <w:qFormat/>
    <w:pPr>
      <w:tabs>
        <w:tab w:val="left" w:pos="1559"/>
      </w:tabs>
      <w:spacing w:after="0" w:line="240" w:lineRule="auto"/>
      <w:ind w:left="1559" w:hanging="567"/>
      <w:jc w:val="both"/>
    </w:pPr>
    <w:rPr>
      <w:rFonts w:ascii="Times New Roman" w:eastAsia="Times New Roman" w:hAnsi="Times New Roman" w:cs="Times New Roman"/>
      <w:sz w:val="20"/>
      <w:szCs w:val="20"/>
      <w:lang w:val="en-US"/>
    </w:rPr>
  </w:style>
  <w:style w:type="paragraph" w:customStyle="1" w:styleId="Roman3-I1">
    <w:name w:val="Roman 3-(I)1"/>
    <w:basedOn w:val="a1"/>
    <w:qFormat/>
    <w:pPr>
      <w:tabs>
        <w:tab w:val="left" w:pos="1559"/>
      </w:tabs>
      <w:spacing w:after="0" w:line="240" w:lineRule="auto"/>
      <w:ind w:left="1559" w:hanging="567"/>
      <w:jc w:val="both"/>
    </w:pPr>
    <w:rPr>
      <w:rFonts w:ascii="Times New Roman" w:eastAsia="Times New Roman" w:hAnsi="Times New Roman" w:cs="Times New Roman"/>
      <w:sz w:val="20"/>
      <w:szCs w:val="20"/>
      <w:lang w:val="en-US"/>
    </w:rPr>
  </w:style>
  <w:style w:type="paragraph" w:customStyle="1" w:styleId="Roman3-I0">
    <w:name w:val="Roman 3-I"/>
    <w:basedOn w:val="a1"/>
    <w:qFormat/>
    <w:pPr>
      <w:tabs>
        <w:tab w:val="left" w:pos="1559"/>
      </w:tabs>
      <w:spacing w:after="0" w:line="240" w:lineRule="auto"/>
      <w:ind w:left="1559" w:hanging="567"/>
      <w:jc w:val="both"/>
    </w:pPr>
    <w:rPr>
      <w:rFonts w:ascii="Times New Roman" w:eastAsia="Times New Roman" w:hAnsi="Times New Roman" w:cs="Times New Roman"/>
      <w:sz w:val="20"/>
      <w:szCs w:val="20"/>
      <w:lang w:val="en-US"/>
    </w:rPr>
  </w:style>
  <w:style w:type="paragraph" w:customStyle="1" w:styleId="Roman4-i">
    <w:name w:val="Roman 4-(i)"/>
    <w:basedOn w:val="a1"/>
    <w:qFormat/>
    <w:pPr>
      <w:tabs>
        <w:tab w:val="left" w:pos="2126"/>
      </w:tabs>
      <w:spacing w:after="0" w:line="240" w:lineRule="auto"/>
      <w:ind w:left="2126" w:hanging="567"/>
      <w:jc w:val="both"/>
    </w:pPr>
    <w:rPr>
      <w:rFonts w:ascii="Times New Roman" w:eastAsia="Times New Roman" w:hAnsi="Times New Roman" w:cs="Times New Roman"/>
      <w:sz w:val="20"/>
      <w:szCs w:val="20"/>
      <w:lang w:val="en-US"/>
    </w:rPr>
  </w:style>
  <w:style w:type="paragraph" w:customStyle="1" w:styleId="Roman4-I1">
    <w:name w:val="Roman 4-(I)1"/>
    <w:basedOn w:val="a1"/>
    <w:qFormat/>
    <w:pPr>
      <w:tabs>
        <w:tab w:val="left" w:pos="2126"/>
      </w:tabs>
      <w:spacing w:after="0" w:line="240" w:lineRule="auto"/>
      <w:ind w:left="2126" w:hanging="567"/>
      <w:jc w:val="both"/>
    </w:pPr>
    <w:rPr>
      <w:rFonts w:ascii="Times New Roman" w:eastAsia="Times New Roman" w:hAnsi="Times New Roman" w:cs="Times New Roman"/>
      <w:sz w:val="20"/>
      <w:szCs w:val="20"/>
      <w:lang w:val="en-US"/>
    </w:rPr>
  </w:style>
  <w:style w:type="paragraph" w:customStyle="1" w:styleId="Roman4-I0">
    <w:name w:val="Roman 4-I"/>
    <w:basedOn w:val="a1"/>
    <w:qFormat/>
    <w:pPr>
      <w:tabs>
        <w:tab w:val="left" w:pos="2126"/>
      </w:tabs>
      <w:spacing w:after="0" w:line="240" w:lineRule="auto"/>
      <w:ind w:left="2126" w:hanging="567"/>
      <w:jc w:val="both"/>
    </w:pPr>
    <w:rPr>
      <w:rFonts w:ascii="Times New Roman" w:eastAsia="Times New Roman" w:hAnsi="Times New Roman" w:cs="Times New Roman"/>
      <w:sz w:val="20"/>
      <w:szCs w:val="20"/>
      <w:lang w:val="en-US"/>
    </w:rPr>
  </w:style>
  <w:style w:type="paragraph" w:customStyle="1" w:styleId="Roman5-i">
    <w:name w:val="Roman 5-(i)"/>
    <w:basedOn w:val="a1"/>
    <w:qFormat/>
    <w:pPr>
      <w:tabs>
        <w:tab w:val="left" w:pos="2693"/>
      </w:tabs>
      <w:spacing w:after="0" w:line="240" w:lineRule="auto"/>
      <w:ind w:left="2693" w:hanging="567"/>
      <w:jc w:val="both"/>
    </w:pPr>
    <w:rPr>
      <w:rFonts w:ascii="Times New Roman" w:eastAsia="Times New Roman" w:hAnsi="Times New Roman" w:cs="Times New Roman"/>
      <w:sz w:val="20"/>
      <w:szCs w:val="20"/>
      <w:lang w:val="en-US"/>
    </w:rPr>
  </w:style>
  <w:style w:type="paragraph" w:customStyle="1" w:styleId="Roman5-I1">
    <w:name w:val="Roman 5-(I)1"/>
    <w:basedOn w:val="a1"/>
    <w:qFormat/>
    <w:pPr>
      <w:tabs>
        <w:tab w:val="left" w:pos="2693"/>
      </w:tabs>
      <w:spacing w:after="0" w:line="240" w:lineRule="auto"/>
      <w:ind w:left="2693" w:hanging="567"/>
      <w:jc w:val="both"/>
    </w:pPr>
    <w:rPr>
      <w:rFonts w:ascii="Times New Roman" w:eastAsia="Times New Roman" w:hAnsi="Times New Roman" w:cs="Times New Roman"/>
      <w:sz w:val="20"/>
      <w:szCs w:val="20"/>
      <w:lang w:val="en-US"/>
    </w:rPr>
  </w:style>
  <w:style w:type="paragraph" w:customStyle="1" w:styleId="Roman5-I0">
    <w:name w:val="Roman 5-I"/>
    <w:basedOn w:val="a1"/>
    <w:qFormat/>
    <w:pPr>
      <w:tabs>
        <w:tab w:val="left" w:pos="2693"/>
      </w:tabs>
      <w:spacing w:after="0" w:line="240" w:lineRule="auto"/>
      <w:ind w:left="2693" w:hanging="567"/>
      <w:jc w:val="both"/>
    </w:pPr>
    <w:rPr>
      <w:rFonts w:ascii="Times New Roman" w:eastAsia="Times New Roman" w:hAnsi="Times New Roman" w:cs="Times New Roman"/>
      <w:sz w:val="20"/>
      <w:szCs w:val="20"/>
      <w:lang w:val="en-US"/>
    </w:rPr>
  </w:style>
  <w:style w:type="paragraph" w:customStyle="1" w:styleId="Roman6-i">
    <w:name w:val="Roman 6-(i)"/>
    <w:basedOn w:val="a1"/>
    <w:qFormat/>
    <w:pPr>
      <w:tabs>
        <w:tab w:val="left" w:pos="3260"/>
      </w:tabs>
      <w:spacing w:after="0" w:line="240" w:lineRule="auto"/>
      <w:ind w:left="3260" w:hanging="567"/>
      <w:jc w:val="both"/>
    </w:pPr>
    <w:rPr>
      <w:rFonts w:ascii="Times New Roman" w:eastAsia="Times New Roman" w:hAnsi="Times New Roman" w:cs="Times New Roman"/>
      <w:sz w:val="20"/>
      <w:szCs w:val="20"/>
      <w:lang w:val="en-US"/>
    </w:rPr>
  </w:style>
  <w:style w:type="paragraph" w:customStyle="1" w:styleId="Roman6-I1">
    <w:name w:val="Roman 6-(I)1"/>
    <w:basedOn w:val="a1"/>
    <w:qFormat/>
    <w:pPr>
      <w:tabs>
        <w:tab w:val="left" w:pos="3260"/>
      </w:tabs>
      <w:spacing w:after="0" w:line="240" w:lineRule="auto"/>
      <w:ind w:left="3260" w:hanging="567"/>
      <w:jc w:val="both"/>
    </w:pPr>
    <w:rPr>
      <w:rFonts w:ascii="Times New Roman" w:eastAsia="Times New Roman" w:hAnsi="Times New Roman" w:cs="Times New Roman"/>
      <w:sz w:val="20"/>
      <w:szCs w:val="20"/>
      <w:lang w:val="en-US"/>
    </w:rPr>
  </w:style>
  <w:style w:type="paragraph" w:customStyle="1" w:styleId="Roman6-I0">
    <w:name w:val="Roman 6-I"/>
    <w:basedOn w:val="a1"/>
    <w:qFormat/>
    <w:pPr>
      <w:tabs>
        <w:tab w:val="left" w:pos="3260"/>
      </w:tabs>
      <w:spacing w:after="0" w:line="240" w:lineRule="auto"/>
      <w:ind w:left="3260" w:hanging="567"/>
      <w:jc w:val="both"/>
    </w:pPr>
    <w:rPr>
      <w:rFonts w:ascii="Times New Roman" w:eastAsia="Times New Roman" w:hAnsi="Times New Roman" w:cs="Times New Roman"/>
      <w:sz w:val="20"/>
      <w:szCs w:val="20"/>
      <w:lang w:val="en-US"/>
    </w:rPr>
  </w:style>
  <w:style w:type="paragraph" w:customStyle="1" w:styleId="SmCellNumber">
    <w:name w:val="SmCellNumber"/>
    <w:basedOn w:val="a1"/>
    <w:qFormat/>
    <w:pPr>
      <w:tabs>
        <w:tab w:val="left" w:pos="425"/>
      </w:tabs>
      <w:spacing w:before="40" w:after="40" w:line="240" w:lineRule="auto"/>
      <w:ind w:left="425" w:hanging="425"/>
    </w:pPr>
    <w:rPr>
      <w:rFonts w:ascii="Times New Roman" w:eastAsia="Times New Roman" w:hAnsi="Times New Roman" w:cs="Times New Roman"/>
      <w:sz w:val="18"/>
      <w:szCs w:val="18"/>
      <w:lang w:val="en-US"/>
    </w:rPr>
  </w:style>
  <w:style w:type="paragraph" w:customStyle="1" w:styleId="TableAlpha">
    <w:name w:val="Table Alpha"/>
    <w:basedOn w:val="a1"/>
    <w:qFormat/>
    <w:pPr>
      <w:spacing w:before="40" w:after="40" w:line="240" w:lineRule="auto"/>
      <w:ind w:left="425" w:hanging="425"/>
      <w:jc w:val="both"/>
    </w:pPr>
    <w:rPr>
      <w:rFonts w:ascii="Times New Roman" w:eastAsia="Times New Roman" w:hAnsi="Times New Roman" w:cs="Times New Roman"/>
      <w:sz w:val="20"/>
      <w:szCs w:val="20"/>
      <w:lang w:val="en-US"/>
    </w:rPr>
  </w:style>
  <w:style w:type="paragraph" w:customStyle="1" w:styleId="TableRoman">
    <w:name w:val="Table Roman"/>
    <w:basedOn w:val="a1"/>
    <w:qFormat/>
    <w:pPr>
      <w:tabs>
        <w:tab w:val="left" w:pos="425"/>
      </w:tabs>
      <w:spacing w:before="40" w:after="40" w:line="240" w:lineRule="auto"/>
      <w:ind w:left="425" w:hanging="425"/>
      <w:jc w:val="both"/>
    </w:pPr>
    <w:rPr>
      <w:rFonts w:ascii="Times New Roman" w:eastAsia="Times New Roman" w:hAnsi="Times New Roman" w:cs="Times New Roman"/>
      <w:sz w:val="20"/>
      <w:szCs w:val="20"/>
      <w:lang w:val="en-US"/>
    </w:rPr>
  </w:style>
  <w:style w:type="paragraph" w:customStyle="1" w:styleId="VSmCellNumber">
    <w:name w:val="VSmCellNumber"/>
    <w:basedOn w:val="a1"/>
    <w:qFormat/>
    <w:pPr>
      <w:tabs>
        <w:tab w:val="left" w:pos="425"/>
      </w:tabs>
      <w:spacing w:before="40" w:after="40" w:line="240" w:lineRule="auto"/>
      <w:ind w:left="425" w:hanging="425"/>
    </w:pPr>
    <w:rPr>
      <w:rFonts w:ascii="Times New Roman" w:eastAsia="Times New Roman" w:hAnsi="Times New Roman" w:cs="Times New Roman"/>
      <w:sz w:val="17"/>
      <w:szCs w:val="17"/>
      <w:lang w:val="en-US"/>
    </w:rPr>
  </w:style>
  <w:style w:type="paragraph" w:customStyle="1" w:styleId="Outline3L1">
    <w:name w:val="Outline3_L1"/>
    <w:basedOn w:val="a1"/>
    <w:next w:val="a1"/>
    <w:qFormat/>
    <w:pPr>
      <w:tabs>
        <w:tab w:val="left" w:pos="720"/>
      </w:tabs>
      <w:spacing w:after="240" w:line="240" w:lineRule="auto"/>
      <w:outlineLvl w:val="0"/>
    </w:pPr>
    <w:rPr>
      <w:rFonts w:ascii="Times New Roman" w:eastAsia="Times New Roman" w:hAnsi="Times New Roman" w:cs="Times New Roman"/>
      <w:sz w:val="20"/>
      <w:szCs w:val="20"/>
      <w:lang w:val="en-US"/>
    </w:rPr>
  </w:style>
  <w:style w:type="paragraph" w:customStyle="1" w:styleId="Outline3L2">
    <w:name w:val="Outline3_L2"/>
    <w:basedOn w:val="Outline3L1"/>
    <w:next w:val="a1"/>
    <w:qFormat/>
    <w:pPr>
      <w:tabs>
        <w:tab w:val="clear" w:pos="720"/>
        <w:tab w:val="left" w:pos="360"/>
        <w:tab w:val="left" w:pos="504"/>
        <w:tab w:val="left" w:pos="1440"/>
      </w:tabs>
      <w:ind w:left="504" w:hanging="216"/>
      <w:outlineLvl w:val="1"/>
    </w:pPr>
  </w:style>
  <w:style w:type="paragraph" w:customStyle="1" w:styleId="Outline3L3">
    <w:name w:val="Outline3_L3"/>
    <w:basedOn w:val="Outline3L2"/>
    <w:next w:val="a1"/>
    <w:qFormat/>
    <w:pPr>
      <w:tabs>
        <w:tab w:val="left" w:pos="2160"/>
      </w:tabs>
      <w:outlineLvl w:val="2"/>
    </w:pPr>
  </w:style>
  <w:style w:type="paragraph" w:customStyle="1" w:styleId="Outline3L4">
    <w:name w:val="Outline3_L4"/>
    <w:basedOn w:val="Outline3L3"/>
    <w:next w:val="a1"/>
    <w:qFormat/>
    <w:pPr>
      <w:tabs>
        <w:tab w:val="left" w:pos="2880"/>
      </w:tabs>
      <w:outlineLvl w:val="3"/>
    </w:pPr>
  </w:style>
  <w:style w:type="paragraph" w:customStyle="1" w:styleId="Parties">
    <w:name w:val="Parties"/>
    <w:basedOn w:val="a1"/>
    <w:qFormat/>
    <w:pPr>
      <w:tabs>
        <w:tab w:val="left" w:pos="567"/>
      </w:tabs>
      <w:spacing w:after="140" w:line="288" w:lineRule="auto"/>
      <w:ind w:left="567" w:hanging="567"/>
      <w:jc w:val="both"/>
    </w:pPr>
    <w:rPr>
      <w:rFonts w:ascii="Arial" w:eastAsia="Times New Roman" w:hAnsi="Arial" w:cs="Arial"/>
      <w:sz w:val="20"/>
      <w:szCs w:val="20"/>
      <w:lang w:val="en-GB"/>
    </w:rPr>
  </w:style>
  <w:style w:type="paragraph" w:customStyle="1" w:styleId="Recitals">
    <w:name w:val="Recitals"/>
    <w:basedOn w:val="a1"/>
    <w:qFormat/>
    <w:pPr>
      <w:tabs>
        <w:tab w:val="decimal" w:pos="567"/>
      </w:tabs>
      <w:spacing w:after="140" w:line="288" w:lineRule="auto"/>
      <w:ind w:left="567" w:hanging="567"/>
      <w:jc w:val="both"/>
    </w:pPr>
    <w:rPr>
      <w:rFonts w:ascii="Arial" w:eastAsia="Times New Roman" w:hAnsi="Arial" w:cs="Arial"/>
      <w:sz w:val="20"/>
      <w:szCs w:val="20"/>
      <w:lang w:val="en-GB"/>
    </w:rPr>
  </w:style>
  <w:style w:type="paragraph" w:customStyle="1" w:styleId="roman1">
    <w:name w:val="roman 1"/>
    <w:basedOn w:val="a1"/>
    <w:qFormat/>
    <w:pPr>
      <w:spacing w:after="140" w:line="288" w:lineRule="auto"/>
      <w:ind w:left="567" w:hanging="567"/>
      <w:jc w:val="both"/>
    </w:pPr>
    <w:rPr>
      <w:rFonts w:ascii="Arial" w:eastAsia="Times New Roman" w:hAnsi="Arial" w:cs="Arial"/>
      <w:sz w:val="20"/>
      <w:szCs w:val="20"/>
      <w:lang w:val="en-GB"/>
    </w:rPr>
  </w:style>
  <w:style w:type="paragraph" w:customStyle="1" w:styleId="roman2">
    <w:name w:val="roman 2"/>
    <w:basedOn w:val="a1"/>
    <w:qFormat/>
    <w:pPr>
      <w:tabs>
        <w:tab w:val="left" w:pos="1248"/>
      </w:tabs>
      <w:spacing w:after="140" w:line="288" w:lineRule="auto"/>
      <w:ind w:left="1248" w:hanging="681"/>
      <w:jc w:val="both"/>
    </w:pPr>
    <w:rPr>
      <w:rFonts w:ascii="Arial" w:eastAsia="Times New Roman" w:hAnsi="Arial" w:cs="Arial"/>
      <w:sz w:val="20"/>
      <w:szCs w:val="20"/>
      <w:lang w:val="en-GB"/>
    </w:rPr>
  </w:style>
  <w:style w:type="paragraph" w:customStyle="1" w:styleId="roman3">
    <w:name w:val="roman 3"/>
    <w:basedOn w:val="a1"/>
    <w:qFormat/>
    <w:pPr>
      <w:tabs>
        <w:tab w:val="left" w:pos="2041"/>
      </w:tabs>
      <w:spacing w:after="140" w:line="288" w:lineRule="auto"/>
      <w:ind w:left="2041" w:hanging="794"/>
      <w:jc w:val="both"/>
    </w:pPr>
    <w:rPr>
      <w:rFonts w:ascii="Arial" w:eastAsia="Times New Roman" w:hAnsi="Arial" w:cs="Arial"/>
      <w:sz w:val="20"/>
      <w:szCs w:val="20"/>
      <w:lang w:val="en-GB"/>
    </w:rPr>
  </w:style>
  <w:style w:type="paragraph" w:customStyle="1" w:styleId="SchedPara1">
    <w:name w:val="Sched_Para 1"/>
    <w:basedOn w:val="a1"/>
    <w:qFormat/>
    <w:pPr>
      <w:tabs>
        <w:tab w:val="left" w:pos="567"/>
      </w:tabs>
      <w:spacing w:after="140" w:line="288" w:lineRule="auto"/>
      <w:ind w:left="567" w:hanging="567"/>
      <w:jc w:val="both"/>
    </w:pPr>
    <w:rPr>
      <w:rFonts w:ascii="Arial" w:eastAsia="Times New Roman" w:hAnsi="Arial" w:cs="Arial"/>
      <w:sz w:val="20"/>
      <w:szCs w:val="20"/>
      <w:lang w:val="en-GB"/>
    </w:rPr>
  </w:style>
  <w:style w:type="paragraph" w:customStyle="1" w:styleId="SchedPara2">
    <w:name w:val="Sched_Para 2"/>
    <w:basedOn w:val="a1"/>
    <w:qFormat/>
    <w:pPr>
      <w:tabs>
        <w:tab w:val="left" w:pos="567"/>
      </w:tabs>
      <w:spacing w:after="140" w:line="288" w:lineRule="auto"/>
      <w:ind w:left="567" w:hanging="567"/>
      <w:jc w:val="both"/>
    </w:pPr>
    <w:rPr>
      <w:rFonts w:ascii="Arial" w:eastAsia="Times New Roman" w:hAnsi="Arial" w:cs="Arial"/>
      <w:sz w:val="20"/>
      <w:szCs w:val="20"/>
      <w:lang w:val="en-GB"/>
    </w:rPr>
  </w:style>
  <w:style w:type="paragraph" w:customStyle="1" w:styleId="SchedPara3">
    <w:name w:val="Sched_Para 3"/>
    <w:basedOn w:val="a1"/>
    <w:qFormat/>
    <w:pPr>
      <w:tabs>
        <w:tab w:val="left" w:pos="1247"/>
      </w:tabs>
      <w:spacing w:after="140" w:line="288" w:lineRule="auto"/>
      <w:ind w:left="1247" w:hanging="680"/>
      <w:jc w:val="both"/>
    </w:pPr>
    <w:rPr>
      <w:rFonts w:ascii="Arial" w:eastAsia="Times New Roman" w:hAnsi="Arial" w:cs="Arial"/>
      <w:sz w:val="20"/>
      <w:szCs w:val="20"/>
      <w:lang w:val="en-GB"/>
    </w:rPr>
  </w:style>
  <w:style w:type="paragraph" w:customStyle="1" w:styleId="SchedPara4">
    <w:name w:val="Sched_Para 4"/>
    <w:basedOn w:val="a1"/>
    <w:qFormat/>
    <w:pPr>
      <w:tabs>
        <w:tab w:val="left" w:pos="1928"/>
      </w:tabs>
      <w:spacing w:after="140" w:line="288" w:lineRule="auto"/>
      <w:ind w:left="1928" w:hanging="681"/>
      <w:jc w:val="both"/>
    </w:pPr>
    <w:rPr>
      <w:rFonts w:ascii="Arial" w:eastAsia="Times New Roman" w:hAnsi="Arial" w:cs="Arial"/>
      <w:sz w:val="20"/>
      <w:szCs w:val="20"/>
      <w:lang w:val="en-GB"/>
    </w:rPr>
  </w:style>
  <w:style w:type="paragraph" w:customStyle="1" w:styleId="SchedPara5">
    <w:name w:val="Sched_Para 5"/>
    <w:basedOn w:val="a1"/>
    <w:qFormat/>
    <w:pPr>
      <w:tabs>
        <w:tab w:val="left" w:pos="2495"/>
      </w:tabs>
      <w:spacing w:after="140" w:line="288" w:lineRule="auto"/>
      <w:ind w:left="2495" w:hanging="567"/>
      <w:jc w:val="both"/>
    </w:pPr>
    <w:rPr>
      <w:rFonts w:ascii="Arial" w:eastAsia="Times New Roman" w:hAnsi="Arial" w:cs="Arial"/>
      <w:sz w:val="20"/>
      <w:szCs w:val="20"/>
      <w:lang w:val="en-GB"/>
    </w:rPr>
  </w:style>
  <w:style w:type="paragraph" w:customStyle="1" w:styleId="SchedPara6">
    <w:name w:val="Sched_Para 6"/>
    <w:basedOn w:val="a1"/>
    <w:qFormat/>
    <w:pPr>
      <w:tabs>
        <w:tab w:val="left" w:pos="3175"/>
      </w:tabs>
      <w:spacing w:after="140" w:line="288" w:lineRule="auto"/>
      <w:ind w:left="3175" w:hanging="680"/>
      <w:jc w:val="both"/>
    </w:pPr>
    <w:rPr>
      <w:rFonts w:ascii="Arial" w:eastAsia="Times New Roman" w:hAnsi="Arial" w:cs="Arial"/>
      <w:sz w:val="20"/>
      <w:szCs w:val="20"/>
      <w:lang w:val="en-GB"/>
    </w:rPr>
  </w:style>
  <w:style w:type="paragraph" w:customStyle="1" w:styleId="TCLevel2">
    <w:name w:val="T+C Level 2"/>
    <w:basedOn w:val="a1"/>
    <w:qFormat/>
    <w:pPr>
      <w:tabs>
        <w:tab w:val="left" w:pos="1247"/>
      </w:tabs>
      <w:spacing w:after="140" w:line="288" w:lineRule="auto"/>
      <w:ind w:left="1247" w:hanging="680"/>
      <w:jc w:val="both"/>
      <w:outlineLvl w:val="1"/>
    </w:pPr>
    <w:rPr>
      <w:rFonts w:ascii="Arial" w:eastAsia="Times New Roman" w:hAnsi="Arial" w:cs="Arial"/>
      <w:sz w:val="20"/>
      <w:szCs w:val="20"/>
      <w:lang w:val="en-GB"/>
    </w:rPr>
  </w:style>
  <w:style w:type="paragraph" w:customStyle="1" w:styleId="TCLevel1">
    <w:name w:val="T+C Level 1"/>
    <w:basedOn w:val="a1"/>
    <w:next w:val="TCLevel2"/>
    <w:qFormat/>
    <w:pPr>
      <w:keepNext/>
      <w:tabs>
        <w:tab w:val="left" w:pos="567"/>
      </w:tabs>
      <w:spacing w:before="140" w:after="0" w:line="288" w:lineRule="auto"/>
      <w:ind w:left="567" w:hanging="567"/>
      <w:jc w:val="both"/>
      <w:outlineLvl w:val="0"/>
    </w:pPr>
    <w:rPr>
      <w:rFonts w:ascii="Arial" w:eastAsia="Times New Roman" w:hAnsi="Arial" w:cs="Arial"/>
      <w:b/>
      <w:bCs/>
      <w:sz w:val="20"/>
      <w:szCs w:val="20"/>
      <w:lang w:val="en-GB"/>
    </w:rPr>
  </w:style>
  <w:style w:type="paragraph" w:customStyle="1" w:styleId="TCLevel3">
    <w:name w:val="T+C Level 3"/>
    <w:basedOn w:val="a1"/>
    <w:qFormat/>
    <w:pPr>
      <w:tabs>
        <w:tab w:val="left" w:pos="1928"/>
      </w:tabs>
      <w:spacing w:after="140" w:line="288" w:lineRule="auto"/>
      <w:ind w:left="1928" w:hanging="681"/>
      <w:jc w:val="both"/>
      <w:outlineLvl w:val="2"/>
    </w:pPr>
    <w:rPr>
      <w:rFonts w:ascii="Arial" w:eastAsia="Times New Roman" w:hAnsi="Arial" w:cs="Arial"/>
      <w:sz w:val="20"/>
      <w:szCs w:val="20"/>
      <w:lang w:val="en-GB"/>
    </w:rPr>
  </w:style>
  <w:style w:type="paragraph" w:customStyle="1" w:styleId="TCLevel4">
    <w:name w:val="T+C Level 4"/>
    <w:basedOn w:val="a1"/>
    <w:qFormat/>
    <w:pPr>
      <w:tabs>
        <w:tab w:val="left" w:pos="2495"/>
      </w:tabs>
      <w:spacing w:after="140" w:line="288" w:lineRule="auto"/>
      <w:ind w:left="2495" w:hanging="567"/>
      <w:jc w:val="both"/>
      <w:outlineLvl w:val="3"/>
    </w:pPr>
    <w:rPr>
      <w:rFonts w:ascii="Arial" w:eastAsia="Times New Roman" w:hAnsi="Arial" w:cs="Arial"/>
      <w:sz w:val="20"/>
      <w:szCs w:val="20"/>
      <w:lang w:val="en-GB"/>
    </w:rPr>
  </w:style>
  <w:style w:type="paragraph" w:customStyle="1" w:styleId="Table1">
    <w:name w:val="Table 1"/>
    <w:basedOn w:val="a1"/>
    <w:qFormat/>
    <w:pPr>
      <w:tabs>
        <w:tab w:val="left" w:pos="567"/>
      </w:tabs>
      <w:spacing w:before="60" w:after="60" w:line="288" w:lineRule="auto"/>
      <w:ind w:left="567" w:hanging="567"/>
    </w:pPr>
    <w:rPr>
      <w:rFonts w:ascii="Arial" w:eastAsia="Times New Roman" w:hAnsi="Arial" w:cs="Arial"/>
      <w:sz w:val="20"/>
      <w:szCs w:val="20"/>
      <w:lang w:val="en-GB"/>
    </w:rPr>
  </w:style>
  <w:style w:type="paragraph" w:customStyle="1" w:styleId="Table2">
    <w:name w:val="Table 2"/>
    <w:basedOn w:val="a1"/>
    <w:qFormat/>
    <w:pPr>
      <w:tabs>
        <w:tab w:val="left" w:pos="567"/>
      </w:tabs>
      <w:spacing w:before="60" w:after="60" w:line="288" w:lineRule="auto"/>
      <w:ind w:left="567" w:hanging="567"/>
    </w:pPr>
    <w:rPr>
      <w:rFonts w:ascii="Arial" w:eastAsia="Times New Roman" w:hAnsi="Arial" w:cs="Arial"/>
      <w:sz w:val="20"/>
      <w:szCs w:val="20"/>
      <w:lang w:val="en-GB"/>
    </w:rPr>
  </w:style>
  <w:style w:type="paragraph" w:customStyle="1" w:styleId="Table3">
    <w:name w:val="Table 3"/>
    <w:basedOn w:val="a1"/>
    <w:qFormat/>
    <w:pPr>
      <w:tabs>
        <w:tab w:val="left" w:pos="1247"/>
      </w:tabs>
      <w:spacing w:before="60" w:after="60" w:line="288" w:lineRule="auto"/>
      <w:ind w:left="1247" w:hanging="680"/>
    </w:pPr>
    <w:rPr>
      <w:rFonts w:ascii="Arial" w:eastAsia="Times New Roman" w:hAnsi="Arial" w:cs="Arial"/>
      <w:sz w:val="20"/>
      <w:szCs w:val="20"/>
      <w:lang w:val="en-GB"/>
    </w:rPr>
  </w:style>
  <w:style w:type="paragraph" w:customStyle="1" w:styleId="Table4">
    <w:name w:val="Table 4"/>
    <w:basedOn w:val="a1"/>
    <w:qFormat/>
    <w:pPr>
      <w:tabs>
        <w:tab w:val="left" w:pos="1928"/>
      </w:tabs>
      <w:spacing w:before="60" w:after="60" w:line="288" w:lineRule="auto"/>
      <w:ind w:left="1927" w:hanging="680"/>
    </w:pPr>
    <w:rPr>
      <w:rFonts w:ascii="Arial" w:eastAsia="Times New Roman" w:hAnsi="Arial" w:cs="Arial"/>
      <w:sz w:val="20"/>
      <w:szCs w:val="20"/>
      <w:lang w:val="en-GB"/>
    </w:rPr>
  </w:style>
  <w:style w:type="paragraph" w:customStyle="1" w:styleId="Table5">
    <w:name w:val="Table 5"/>
    <w:basedOn w:val="a1"/>
    <w:qFormat/>
    <w:pPr>
      <w:tabs>
        <w:tab w:val="left" w:pos="2495"/>
      </w:tabs>
      <w:spacing w:before="60" w:after="60" w:line="288" w:lineRule="auto"/>
      <w:ind w:left="2495" w:hanging="567"/>
    </w:pPr>
    <w:rPr>
      <w:rFonts w:ascii="Arial" w:eastAsia="Times New Roman" w:hAnsi="Arial" w:cs="Arial"/>
      <w:sz w:val="20"/>
      <w:szCs w:val="20"/>
      <w:lang w:val="en-GB"/>
    </w:rPr>
  </w:style>
  <w:style w:type="paragraph" w:customStyle="1" w:styleId="Table6">
    <w:name w:val="Table 6"/>
    <w:basedOn w:val="a1"/>
    <w:qFormat/>
    <w:pPr>
      <w:tabs>
        <w:tab w:val="left" w:pos="3175"/>
      </w:tabs>
      <w:spacing w:before="60" w:after="60" w:line="288" w:lineRule="auto"/>
      <w:ind w:left="3175" w:hanging="680"/>
    </w:pPr>
    <w:rPr>
      <w:rFonts w:ascii="Arial" w:eastAsia="Times New Roman" w:hAnsi="Arial" w:cs="Arial"/>
      <w:sz w:val="20"/>
      <w:szCs w:val="20"/>
      <w:lang w:val="en-GB"/>
    </w:rPr>
  </w:style>
  <w:style w:type="paragraph" w:customStyle="1" w:styleId="roman4">
    <w:name w:val="roman 4"/>
    <w:basedOn w:val="a1"/>
    <w:qFormat/>
    <w:pPr>
      <w:tabs>
        <w:tab w:val="left" w:pos="2495"/>
        <w:tab w:val="left" w:pos="2648"/>
      </w:tabs>
      <w:spacing w:after="140" w:line="288" w:lineRule="auto"/>
      <w:ind w:left="2495" w:hanging="567"/>
      <w:jc w:val="both"/>
    </w:pPr>
    <w:rPr>
      <w:rFonts w:ascii="Arial" w:eastAsia="Times New Roman" w:hAnsi="Arial" w:cs="Arial"/>
      <w:sz w:val="20"/>
      <w:szCs w:val="20"/>
      <w:lang w:val="en-GB"/>
    </w:rPr>
  </w:style>
  <w:style w:type="paragraph" w:customStyle="1" w:styleId="roman5">
    <w:name w:val="roman 5"/>
    <w:basedOn w:val="a1"/>
    <w:qFormat/>
    <w:pPr>
      <w:tabs>
        <w:tab w:val="left" w:pos="3175"/>
      </w:tabs>
      <w:spacing w:after="140" w:line="288" w:lineRule="auto"/>
      <w:ind w:left="3175" w:hanging="680"/>
      <w:jc w:val="both"/>
    </w:pPr>
    <w:rPr>
      <w:rFonts w:ascii="Arial" w:eastAsia="Times New Roman" w:hAnsi="Arial" w:cs="Arial"/>
      <w:sz w:val="20"/>
      <w:szCs w:val="20"/>
      <w:lang w:val="en-GB"/>
    </w:rPr>
  </w:style>
  <w:style w:type="paragraph" w:customStyle="1" w:styleId="SchedHead1">
    <w:name w:val="Sched_Head 1"/>
    <w:basedOn w:val="a1"/>
    <w:next w:val="a1"/>
    <w:qFormat/>
    <w:pPr>
      <w:keepNext/>
      <w:tabs>
        <w:tab w:val="left" w:pos="567"/>
      </w:tabs>
      <w:spacing w:before="140" w:after="140" w:line="288" w:lineRule="auto"/>
      <w:ind w:left="567" w:hanging="567"/>
      <w:jc w:val="both"/>
      <w:outlineLvl w:val="0"/>
    </w:pPr>
    <w:rPr>
      <w:rFonts w:ascii="Arial" w:eastAsia="Times New Roman" w:hAnsi="Arial" w:cs="Arial"/>
      <w:b/>
      <w:bCs/>
      <w:lang w:val="en-GB"/>
    </w:rPr>
  </w:style>
  <w:style w:type="paragraph" w:customStyle="1" w:styleId="SchedHead2">
    <w:name w:val="Sched_Head 2"/>
    <w:basedOn w:val="a1"/>
    <w:next w:val="a1"/>
    <w:qFormat/>
    <w:pPr>
      <w:keepNext/>
      <w:tabs>
        <w:tab w:val="left" w:pos="567"/>
      </w:tabs>
      <w:spacing w:before="140" w:after="60" w:line="288" w:lineRule="auto"/>
      <w:ind w:left="567" w:hanging="567"/>
      <w:jc w:val="both"/>
      <w:outlineLvl w:val="1"/>
    </w:pPr>
    <w:rPr>
      <w:rFonts w:ascii="Arial" w:eastAsia="Times New Roman" w:hAnsi="Arial" w:cs="Arial"/>
      <w:b/>
      <w:bCs/>
      <w:sz w:val="21"/>
      <w:szCs w:val="21"/>
      <w:lang w:val="en-GB"/>
    </w:rPr>
  </w:style>
  <w:style w:type="paragraph" w:customStyle="1" w:styleId="SchedHead3">
    <w:name w:val="Sched_Head 3"/>
    <w:basedOn w:val="a1"/>
    <w:next w:val="a1"/>
    <w:qFormat/>
    <w:pPr>
      <w:keepNext/>
      <w:tabs>
        <w:tab w:val="left" w:pos="1247"/>
      </w:tabs>
      <w:spacing w:before="140" w:after="40" w:line="288" w:lineRule="auto"/>
      <w:ind w:left="1247" w:hanging="680"/>
      <w:jc w:val="both"/>
      <w:outlineLvl w:val="2"/>
    </w:pPr>
    <w:rPr>
      <w:rFonts w:ascii="Arial" w:eastAsia="Times New Roman" w:hAnsi="Arial" w:cs="Arial"/>
      <w:b/>
      <w:bCs/>
      <w:sz w:val="20"/>
      <w:szCs w:val="20"/>
      <w:lang w:val="en-GB"/>
    </w:rPr>
  </w:style>
  <w:style w:type="paragraph" w:customStyle="1" w:styleId="Legal2L1">
    <w:name w:val="Legal2_L1"/>
    <w:basedOn w:val="a1"/>
    <w:next w:val="a1"/>
    <w:qFormat/>
    <w:pPr>
      <w:keepNext/>
      <w:tabs>
        <w:tab w:val="left" w:pos="720"/>
      </w:tabs>
      <w:spacing w:after="240" w:line="240" w:lineRule="auto"/>
      <w:ind w:left="720" w:hanging="720"/>
      <w:outlineLvl w:val="0"/>
    </w:pPr>
    <w:rPr>
      <w:rFonts w:ascii="Times New Roman" w:eastAsia="Times New Roman" w:hAnsi="Times New Roman" w:cs="Times New Roman"/>
      <w:b/>
      <w:bCs/>
      <w:sz w:val="20"/>
      <w:szCs w:val="20"/>
      <w:lang w:val="en-US"/>
    </w:rPr>
  </w:style>
  <w:style w:type="paragraph" w:customStyle="1" w:styleId="Legal2L2">
    <w:name w:val="Legal2_L2"/>
    <w:basedOn w:val="Legal2L1"/>
    <w:next w:val="a1"/>
    <w:qFormat/>
    <w:pPr>
      <w:tabs>
        <w:tab w:val="clear" w:pos="720"/>
        <w:tab w:val="left" w:pos="360"/>
        <w:tab w:val="left" w:pos="567"/>
        <w:tab w:val="left" w:pos="900"/>
        <w:tab w:val="left" w:pos="1080"/>
        <w:tab w:val="left" w:pos="1440"/>
      </w:tabs>
      <w:ind w:left="1440" w:hanging="360"/>
      <w:outlineLvl w:val="1"/>
    </w:pPr>
  </w:style>
  <w:style w:type="paragraph" w:customStyle="1" w:styleId="Legal2L3">
    <w:name w:val="Legal2_L3"/>
    <w:basedOn w:val="Legal2L2"/>
    <w:next w:val="a1"/>
    <w:qFormat/>
    <w:pPr>
      <w:keepNext w:val="0"/>
      <w:tabs>
        <w:tab w:val="clear" w:pos="1440"/>
        <w:tab w:val="left" w:pos="850"/>
        <w:tab w:val="left" w:pos="1620"/>
        <w:tab w:val="left" w:pos="1800"/>
        <w:tab w:val="left" w:pos="2160"/>
      </w:tabs>
      <w:ind w:left="2160" w:hanging="180"/>
      <w:jc w:val="both"/>
      <w:outlineLvl w:val="2"/>
    </w:pPr>
  </w:style>
  <w:style w:type="paragraph" w:customStyle="1" w:styleId="Legal2L4">
    <w:name w:val="Legal2_L4"/>
    <w:basedOn w:val="Legal2L3"/>
    <w:next w:val="a1"/>
    <w:qFormat/>
    <w:pPr>
      <w:tabs>
        <w:tab w:val="clear" w:pos="2160"/>
        <w:tab w:val="left" w:pos="2340"/>
        <w:tab w:val="left" w:pos="2520"/>
        <w:tab w:val="left" w:pos="2880"/>
      </w:tabs>
      <w:ind w:left="2880" w:hanging="360"/>
      <w:outlineLvl w:val="3"/>
    </w:pPr>
  </w:style>
  <w:style w:type="paragraph" w:customStyle="1" w:styleId="Legal2L5">
    <w:name w:val="Legal2_L5"/>
    <w:basedOn w:val="Legal2L4"/>
    <w:next w:val="a1"/>
    <w:qFormat/>
    <w:pPr>
      <w:tabs>
        <w:tab w:val="clear" w:pos="2880"/>
        <w:tab w:val="left" w:pos="3060"/>
        <w:tab w:val="left" w:pos="3240"/>
        <w:tab w:val="left" w:pos="3600"/>
      </w:tabs>
      <w:ind w:left="3600"/>
      <w:outlineLvl w:val="4"/>
    </w:pPr>
  </w:style>
  <w:style w:type="paragraph" w:customStyle="1" w:styleId="Legal2L6">
    <w:name w:val="Legal2_L6"/>
    <w:basedOn w:val="Legal2L5"/>
    <w:next w:val="a1"/>
    <w:qFormat/>
    <w:pPr>
      <w:tabs>
        <w:tab w:val="left" w:pos="3780"/>
        <w:tab w:val="left" w:pos="3960"/>
        <w:tab w:val="left" w:pos="4320"/>
      </w:tabs>
      <w:ind w:left="4320" w:hanging="180"/>
      <w:outlineLvl w:val="5"/>
    </w:pPr>
  </w:style>
  <w:style w:type="paragraph" w:customStyle="1" w:styleId="Legal2L7">
    <w:name w:val="Legal2_L7"/>
    <w:basedOn w:val="Legal2L6"/>
    <w:next w:val="a1"/>
    <w:qFormat/>
    <w:pPr>
      <w:tabs>
        <w:tab w:val="left" w:pos="4500"/>
        <w:tab w:val="left" w:pos="4680"/>
        <w:tab w:val="left" w:pos="5040"/>
      </w:tabs>
      <w:ind w:left="5040" w:hanging="360"/>
      <w:outlineLvl w:val="6"/>
    </w:pPr>
  </w:style>
  <w:style w:type="paragraph" w:customStyle="1" w:styleId="Schedule2">
    <w:name w:val="Schedule 2"/>
    <w:basedOn w:val="a1"/>
    <w:next w:val="a1"/>
    <w:qFormat/>
    <w:pPr>
      <w:tabs>
        <w:tab w:val="left" w:pos="680"/>
      </w:tabs>
      <w:spacing w:after="140" w:line="288" w:lineRule="auto"/>
      <w:ind w:left="680" w:hanging="680"/>
      <w:jc w:val="both"/>
      <w:outlineLvl w:val="1"/>
    </w:pPr>
    <w:rPr>
      <w:rFonts w:ascii="Arial" w:eastAsia="Times New Roman" w:hAnsi="Arial" w:cs="Arial"/>
      <w:sz w:val="20"/>
      <w:szCs w:val="20"/>
      <w:lang w:val="en-GB"/>
    </w:rPr>
  </w:style>
  <w:style w:type="paragraph" w:customStyle="1" w:styleId="Schedule3">
    <w:name w:val="Schedule 3"/>
    <w:basedOn w:val="a1"/>
    <w:next w:val="a1"/>
    <w:qFormat/>
    <w:pPr>
      <w:tabs>
        <w:tab w:val="left" w:pos="1361"/>
      </w:tabs>
      <w:spacing w:after="140" w:line="288" w:lineRule="auto"/>
      <w:ind w:left="1361" w:hanging="681"/>
      <w:jc w:val="both"/>
    </w:pPr>
    <w:rPr>
      <w:rFonts w:ascii="Arial" w:eastAsia="Times New Roman" w:hAnsi="Arial" w:cs="Arial"/>
      <w:sz w:val="20"/>
      <w:szCs w:val="20"/>
      <w:lang w:val="en-GB"/>
    </w:rPr>
  </w:style>
  <w:style w:type="paragraph" w:customStyle="1" w:styleId="Schedule4">
    <w:name w:val="Schedule 4"/>
    <w:basedOn w:val="a1"/>
    <w:next w:val="a1"/>
    <w:qFormat/>
    <w:pPr>
      <w:tabs>
        <w:tab w:val="left" w:pos="2041"/>
      </w:tabs>
      <w:spacing w:after="140" w:line="288" w:lineRule="auto"/>
      <w:ind w:left="2041" w:hanging="680"/>
      <w:jc w:val="both"/>
      <w:outlineLvl w:val="3"/>
    </w:pPr>
    <w:rPr>
      <w:rFonts w:ascii="Arial" w:eastAsia="Times New Roman" w:hAnsi="Arial" w:cs="Arial"/>
      <w:sz w:val="20"/>
      <w:szCs w:val="20"/>
      <w:lang w:val="en-GB"/>
    </w:rPr>
  </w:style>
  <w:style w:type="paragraph" w:customStyle="1" w:styleId="Schedule5">
    <w:name w:val="Schedule 5"/>
    <w:basedOn w:val="a1"/>
    <w:next w:val="a1"/>
    <w:qFormat/>
    <w:pPr>
      <w:tabs>
        <w:tab w:val="left" w:pos="2608"/>
      </w:tabs>
      <w:spacing w:after="140" w:line="288" w:lineRule="auto"/>
      <w:ind w:left="2608" w:hanging="567"/>
      <w:jc w:val="both"/>
      <w:outlineLvl w:val="4"/>
    </w:pPr>
    <w:rPr>
      <w:rFonts w:ascii="Arial" w:eastAsia="Times New Roman" w:hAnsi="Arial" w:cs="Arial"/>
      <w:sz w:val="20"/>
      <w:szCs w:val="20"/>
      <w:lang w:val="en-GB"/>
    </w:rPr>
  </w:style>
  <w:style w:type="paragraph" w:customStyle="1" w:styleId="Schedule6">
    <w:name w:val="Schedule 6"/>
    <w:basedOn w:val="a1"/>
    <w:next w:val="a1"/>
    <w:qFormat/>
    <w:pPr>
      <w:tabs>
        <w:tab w:val="left" w:pos="3289"/>
      </w:tabs>
      <w:spacing w:after="140" w:line="288" w:lineRule="auto"/>
      <w:ind w:left="3289" w:hanging="681"/>
      <w:jc w:val="both"/>
    </w:pPr>
    <w:rPr>
      <w:rFonts w:ascii="Arial" w:eastAsia="Times New Roman" w:hAnsi="Arial" w:cs="Arial"/>
      <w:sz w:val="20"/>
      <w:szCs w:val="20"/>
      <w:lang w:val="en-GB"/>
    </w:rPr>
  </w:style>
  <w:style w:type="paragraph" w:customStyle="1" w:styleId="Tablealpha1">
    <w:name w:val="Table alpha1"/>
    <w:basedOn w:val="a1"/>
    <w:qFormat/>
    <w:pPr>
      <w:tabs>
        <w:tab w:val="left" w:pos="567"/>
      </w:tabs>
      <w:spacing w:before="60" w:after="60" w:line="288" w:lineRule="auto"/>
      <w:ind w:left="567" w:hanging="567"/>
    </w:pPr>
    <w:rPr>
      <w:rFonts w:ascii="Arial" w:eastAsia="Times New Roman" w:hAnsi="Arial" w:cs="Arial"/>
      <w:sz w:val="20"/>
      <w:szCs w:val="20"/>
      <w:lang w:val="en-GB"/>
    </w:rPr>
  </w:style>
  <w:style w:type="paragraph" w:customStyle="1" w:styleId="Tableroman1">
    <w:name w:val="Table roman1"/>
    <w:basedOn w:val="a1"/>
    <w:qFormat/>
    <w:pPr>
      <w:tabs>
        <w:tab w:val="left" w:pos="567"/>
        <w:tab w:val="left" w:pos="720"/>
      </w:tabs>
      <w:spacing w:before="60" w:after="60" w:line="288" w:lineRule="auto"/>
      <w:ind w:left="567" w:hanging="567"/>
    </w:pPr>
    <w:rPr>
      <w:rFonts w:ascii="Arial" w:eastAsia="Times New Roman" w:hAnsi="Arial" w:cs="Arial"/>
      <w:sz w:val="20"/>
      <w:szCs w:val="20"/>
      <w:lang w:val="en-GB"/>
    </w:rPr>
  </w:style>
  <w:style w:type="paragraph" w:customStyle="1" w:styleId="TCLevel10">
    <w:name w:val="T&amp;&amp;C Level 1"/>
    <w:basedOn w:val="a1"/>
    <w:next w:val="a1"/>
    <w:qFormat/>
    <w:pPr>
      <w:tabs>
        <w:tab w:val="left" w:pos="425"/>
      </w:tabs>
      <w:spacing w:after="120" w:line="288" w:lineRule="auto"/>
      <w:ind w:left="425" w:hanging="425"/>
      <w:jc w:val="both"/>
    </w:pPr>
    <w:rPr>
      <w:rFonts w:ascii="Times New Roman" w:eastAsia="Times New Roman" w:hAnsi="Times New Roman" w:cs="Times New Roman"/>
      <w:b/>
      <w:bCs/>
      <w:sz w:val="20"/>
      <w:szCs w:val="20"/>
      <w:lang w:val="en-GB"/>
    </w:rPr>
  </w:style>
  <w:style w:type="paragraph" w:customStyle="1" w:styleId="TCLevel1-G">
    <w:name w:val="T&amp;&amp;C Level 1-G"/>
    <w:basedOn w:val="a1"/>
    <w:next w:val="a1"/>
    <w:qFormat/>
    <w:pPr>
      <w:tabs>
        <w:tab w:val="left" w:pos="425"/>
      </w:tabs>
      <w:spacing w:after="60" w:line="288" w:lineRule="auto"/>
      <w:ind w:left="425" w:hanging="425"/>
      <w:jc w:val="both"/>
    </w:pPr>
    <w:rPr>
      <w:rFonts w:ascii="Times New Roman" w:eastAsia="Times New Roman" w:hAnsi="Times New Roman" w:cs="Times New Roman"/>
      <w:b/>
      <w:bCs/>
      <w:sz w:val="20"/>
      <w:szCs w:val="20"/>
      <w:lang w:val="en-GB"/>
    </w:rPr>
  </w:style>
  <w:style w:type="paragraph" w:customStyle="1" w:styleId="TermLevel1">
    <w:name w:val="TermLevel 1"/>
    <w:basedOn w:val="a1"/>
    <w:qFormat/>
    <w:pPr>
      <w:tabs>
        <w:tab w:val="left" w:pos="680"/>
      </w:tabs>
      <w:spacing w:after="140" w:line="240" w:lineRule="auto"/>
      <w:ind w:left="677" w:hanging="677"/>
    </w:pPr>
    <w:rPr>
      <w:rFonts w:ascii="Times New Roman" w:eastAsia="Times New Roman" w:hAnsi="Times New Roman" w:cs="Times New Roman"/>
      <w:b/>
      <w:bCs/>
      <w:sz w:val="20"/>
      <w:szCs w:val="20"/>
      <w:lang w:val="en-US"/>
    </w:rPr>
  </w:style>
  <w:style w:type="paragraph" w:customStyle="1" w:styleId="Schedule1">
    <w:name w:val="Schedule 1"/>
    <w:basedOn w:val="a1"/>
    <w:next w:val="a1"/>
    <w:qFormat/>
    <w:pPr>
      <w:keepNext/>
      <w:tabs>
        <w:tab w:val="left" w:pos="680"/>
      </w:tabs>
      <w:spacing w:after="240" w:line="240" w:lineRule="auto"/>
      <w:ind w:left="680" w:hanging="680"/>
      <w:jc w:val="both"/>
      <w:outlineLvl w:val="0"/>
    </w:pPr>
    <w:rPr>
      <w:rFonts w:ascii="Times New Roman" w:eastAsia="Times New Roman" w:hAnsi="Times New Roman" w:cs="Times New Roman"/>
      <w:b/>
      <w:bCs/>
      <w:sz w:val="20"/>
      <w:szCs w:val="20"/>
      <w:lang w:val="en-GB"/>
    </w:rPr>
  </w:style>
  <w:style w:type="paragraph" w:customStyle="1" w:styleId="bodytextindent4">
    <w:name w:val="body text indent 4"/>
    <w:basedOn w:val="aff6"/>
    <w:qFormat/>
    <w:pPr>
      <w:spacing w:after="240"/>
      <w:ind w:left="1440"/>
    </w:pPr>
    <w:rPr>
      <w:sz w:val="20"/>
      <w:szCs w:val="20"/>
      <w:lang w:val="en-US"/>
    </w:rPr>
  </w:style>
  <w:style w:type="paragraph" w:customStyle="1" w:styleId="Graphic">
    <w:name w:val="Graphic"/>
    <w:basedOn w:val="a1"/>
    <w:qFormat/>
    <w:pPr>
      <w:keepNext/>
      <w:keepLines/>
      <w:spacing w:before="120" w:after="0" w:line="240" w:lineRule="auto"/>
      <w:ind w:left="-101" w:right="-101"/>
      <w:jc w:val="center"/>
    </w:pPr>
    <w:rPr>
      <w:rFonts w:ascii="Times New Roman" w:eastAsia="Times New Roman" w:hAnsi="Times New Roman" w:cs="Times New Roman"/>
      <w:sz w:val="18"/>
      <w:szCs w:val="18"/>
      <w:lang w:val="en-GB"/>
    </w:rPr>
  </w:style>
  <w:style w:type="paragraph" w:customStyle="1" w:styleId="tblNumber00">
    <w:name w:val="tbl'Number_00"/>
    <w:basedOn w:val="tblText00"/>
    <w:qFormat/>
    <w:pPr>
      <w:jc w:val="right"/>
    </w:pPr>
    <w:rPr>
      <w:lang w:val="en-US"/>
    </w:rPr>
  </w:style>
  <w:style w:type="paragraph" w:customStyle="1" w:styleId="tblNumber01">
    <w:name w:val="tbl'Number_01"/>
    <w:basedOn w:val="tblText00"/>
    <w:qFormat/>
    <w:pPr>
      <w:ind w:right="57"/>
      <w:jc w:val="right"/>
    </w:pPr>
    <w:rPr>
      <w:lang w:val="en-US"/>
    </w:rPr>
  </w:style>
  <w:style w:type="paragraph" w:customStyle="1" w:styleId="tblText02">
    <w:name w:val="tbl'Text_02"/>
    <w:basedOn w:val="tblText00"/>
    <w:qFormat/>
    <w:pPr>
      <w:ind w:left="113" w:hanging="113"/>
    </w:pPr>
    <w:rPr>
      <w:lang w:val="en-US"/>
    </w:rPr>
  </w:style>
  <w:style w:type="paragraph" w:customStyle="1" w:styleId="tblText05">
    <w:name w:val="tbl'Text_05"/>
    <w:basedOn w:val="tblText02"/>
    <w:qFormat/>
    <w:pPr>
      <w:ind w:left="397"/>
    </w:pPr>
  </w:style>
  <w:style w:type="paragraph" w:customStyle="1" w:styleId="tblBulCheck">
    <w:name w:val="tbl'Bul_Check"/>
    <w:basedOn w:val="tblText00"/>
    <w:qFormat/>
    <w:pPr>
      <w:tabs>
        <w:tab w:val="left" w:pos="2693"/>
      </w:tabs>
      <w:ind w:left="2693" w:hanging="567"/>
    </w:pPr>
  </w:style>
  <w:style w:type="paragraph" w:customStyle="1" w:styleId="tblBulDash">
    <w:name w:val="tbl'Bul_Dash"/>
    <w:basedOn w:val="tblText00"/>
    <w:qFormat/>
    <w:pPr>
      <w:tabs>
        <w:tab w:val="left" w:pos="1559"/>
      </w:tabs>
      <w:ind w:left="357" w:hanging="357"/>
    </w:pPr>
  </w:style>
  <w:style w:type="paragraph" w:customStyle="1" w:styleId="tblBulDot">
    <w:name w:val="tbl'Bul_Dot"/>
    <w:basedOn w:val="tblText00"/>
    <w:qFormat/>
    <w:pPr>
      <w:tabs>
        <w:tab w:val="left" w:pos="2693"/>
      </w:tabs>
      <w:ind w:left="2693" w:hanging="567"/>
    </w:pPr>
  </w:style>
  <w:style w:type="paragraph" w:customStyle="1" w:styleId="Russian">
    <w:name w:val="Russian"/>
    <w:basedOn w:val="a1"/>
    <w:qFormat/>
    <w:pPr>
      <w:widowControl w:val="0"/>
      <w:pBdr>
        <w:bottom w:val="single" w:sz="4" w:space="1" w:color="000000"/>
      </w:pBdr>
      <w:tabs>
        <w:tab w:val="left" w:pos="3600"/>
      </w:tabs>
      <w:spacing w:before="80" w:after="40" w:line="240" w:lineRule="auto"/>
      <w:ind w:left="3600" w:hanging="720"/>
      <w:jc w:val="both"/>
    </w:pPr>
    <w:rPr>
      <w:rFonts w:ascii="Arial" w:eastAsia="Times New Roman" w:hAnsi="Arial" w:cs="Arial"/>
      <w:b/>
      <w:bCs/>
      <w:color w:val="000000"/>
      <w:sz w:val="24"/>
      <w:szCs w:val="24"/>
    </w:rPr>
  </w:style>
  <w:style w:type="paragraph" w:customStyle="1" w:styleId="tn2">
    <w:name w:val="tn2"/>
    <w:basedOn w:val="affff2"/>
    <w:qFormat/>
    <w:pPr>
      <w:spacing w:before="0" w:after="0"/>
      <w:ind w:left="480" w:hanging="480"/>
    </w:pPr>
    <w:rPr>
      <w:lang w:val="en-US"/>
    </w:rPr>
  </w:style>
  <w:style w:type="paragraph" w:customStyle="1" w:styleId="BodyMain">
    <w:name w:val="Body Main"/>
    <w:basedOn w:val="a1"/>
    <w:qFormat/>
    <w:pPr>
      <w:spacing w:before="240" w:after="0" w:line="240" w:lineRule="auto"/>
      <w:ind w:firstLine="360"/>
      <w:jc w:val="both"/>
    </w:pPr>
    <w:rPr>
      <w:rFonts w:ascii="Times New Roman" w:eastAsia="Times New Roman" w:hAnsi="Times New Roman" w:cs="Times New Roman"/>
      <w:sz w:val="20"/>
      <w:szCs w:val="20"/>
      <w:lang w:val="en-US"/>
    </w:rPr>
  </w:style>
  <w:style w:type="paragraph" w:customStyle="1" w:styleId="Default">
    <w:name w:val="Default"/>
    <w:qFormat/>
    <w:rPr>
      <w:rFonts w:ascii="Times New Roman" w:eastAsia="Times New Roman" w:hAnsi="Times New Roman" w:cs="Times New Roman"/>
      <w:color w:val="000000"/>
      <w:sz w:val="24"/>
      <w:szCs w:val="24"/>
      <w:lang w:val="en-US"/>
    </w:rPr>
  </w:style>
  <w:style w:type="paragraph" w:customStyle="1" w:styleId="affffe">
    <w:name w:val="???????? ????? ? ????????"/>
    <w:basedOn w:val="Default"/>
    <w:next w:val="Default"/>
    <w:qFormat/>
    <w:rPr>
      <w:color w:val="auto"/>
    </w:rPr>
  </w:style>
  <w:style w:type="paragraph" w:customStyle="1" w:styleId="CG-DblInd05">
    <w:name w:val="CG-Dbl Ind 0.5"/>
    <w:basedOn w:val="a1"/>
    <w:qFormat/>
    <w:pPr>
      <w:spacing w:after="240" w:line="240" w:lineRule="auto"/>
      <w:ind w:left="720" w:right="720"/>
    </w:pPr>
    <w:rPr>
      <w:rFonts w:ascii="Times New Roman" w:eastAsia="Times New Roman" w:hAnsi="Times New Roman" w:cs="Times New Roman"/>
      <w:sz w:val="24"/>
      <w:szCs w:val="24"/>
      <w:lang w:val="en-US"/>
    </w:rPr>
  </w:style>
  <w:style w:type="paragraph" w:customStyle="1" w:styleId="CG-DblInd1">
    <w:name w:val="CG-Dbl Ind 1"/>
    <w:basedOn w:val="a1"/>
    <w:qFormat/>
    <w:pPr>
      <w:spacing w:after="240" w:line="240" w:lineRule="auto"/>
      <w:ind w:left="1440" w:right="1440"/>
    </w:pPr>
    <w:rPr>
      <w:rFonts w:ascii="Times New Roman" w:eastAsia="Times New Roman" w:hAnsi="Times New Roman" w:cs="Times New Roman"/>
      <w:sz w:val="24"/>
      <w:szCs w:val="24"/>
      <w:lang w:val="en-US"/>
    </w:rPr>
  </w:style>
  <w:style w:type="paragraph" w:customStyle="1" w:styleId="CG-DblSp05">
    <w:name w:val="CG-Dbl Sp 0.5"/>
    <w:basedOn w:val="a1"/>
    <w:qFormat/>
    <w:pPr>
      <w:spacing w:after="0" w:line="480" w:lineRule="auto"/>
      <w:ind w:firstLine="720"/>
    </w:pPr>
    <w:rPr>
      <w:rFonts w:ascii="Times New Roman" w:eastAsia="Times New Roman" w:hAnsi="Times New Roman" w:cs="Times New Roman"/>
      <w:sz w:val="24"/>
      <w:szCs w:val="24"/>
      <w:lang w:val="en-US"/>
    </w:rPr>
  </w:style>
  <w:style w:type="paragraph" w:customStyle="1" w:styleId="CG-DblSp1">
    <w:name w:val="CG-Dbl Sp 1"/>
    <w:basedOn w:val="a1"/>
    <w:qFormat/>
    <w:pPr>
      <w:spacing w:after="0" w:line="480" w:lineRule="auto"/>
      <w:ind w:firstLine="1440"/>
    </w:pPr>
    <w:rPr>
      <w:rFonts w:ascii="Times New Roman" w:eastAsia="Times New Roman" w:hAnsi="Times New Roman" w:cs="Times New Roman"/>
      <w:sz w:val="24"/>
      <w:szCs w:val="24"/>
      <w:lang w:val="en-US"/>
    </w:rPr>
  </w:style>
  <w:style w:type="paragraph" w:customStyle="1" w:styleId="CG-LeftInd05">
    <w:name w:val="CG-Left Ind 0.5"/>
    <w:basedOn w:val="a1"/>
    <w:qFormat/>
    <w:pPr>
      <w:spacing w:after="240" w:line="240" w:lineRule="auto"/>
      <w:ind w:left="720"/>
    </w:pPr>
    <w:rPr>
      <w:rFonts w:ascii="Times New Roman" w:eastAsia="Times New Roman" w:hAnsi="Times New Roman" w:cs="Times New Roman"/>
      <w:sz w:val="24"/>
      <w:szCs w:val="24"/>
      <w:lang w:val="en-US"/>
    </w:rPr>
  </w:style>
  <w:style w:type="paragraph" w:customStyle="1" w:styleId="CG-LeftInd05FL05">
    <w:name w:val="CG-Left Ind 0.5 FL 0.5"/>
    <w:basedOn w:val="a1"/>
    <w:qFormat/>
    <w:pPr>
      <w:spacing w:after="240" w:line="240" w:lineRule="auto"/>
      <w:ind w:left="720" w:firstLine="720"/>
    </w:pPr>
    <w:rPr>
      <w:rFonts w:ascii="Times New Roman" w:eastAsia="Times New Roman" w:hAnsi="Times New Roman" w:cs="Times New Roman"/>
      <w:sz w:val="24"/>
      <w:szCs w:val="24"/>
      <w:lang w:val="en-US"/>
    </w:rPr>
  </w:style>
  <w:style w:type="paragraph" w:customStyle="1" w:styleId="CG-LeftInd1">
    <w:name w:val="CG-Left Ind 1"/>
    <w:basedOn w:val="a1"/>
    <w:qFormat/>
    <w:pPr>
      <w:spacing w:after="240" w:line="240" w:lineRule="auto"/>
      <w:ind w:left="1440"/>
    </w:pPr>
    <w:rPr>
      <w:rFonts w:ascii="Times New Roman" w:eastAsia="Times New Roman" w:hAnsi="Times New Roman" w:cs="Times New Roman"/>
      <w:sz w:val="24"/>
      <w:szCs w:val="24"/>
      <w:lang w:val="en-US"/>
    </w:rPr>
  </w:style>
  <w:style w:type="paragraph" w:customStyle="1" w:styleId="CG-NumberA">
    <w:name w:val="CG-Number A"/>
    <w:basedOn w:val="a1"/>
    <w:qFormat/>
    <w:pPr>
      <w:tabs>
        <w:tab w:val="left" w:pos="720"/>
      </w:tabs>
      <w:spacing w:after="240" w:line="240" w:lineRule="auto"/>
      <w:ind w:left="720" w:hanging="720"/>
    </w:pPr>
    <w:rPr>
      <w:rFonts w:ascii="Times New Roman" w:eastAsia="Times New Roman" w:hAnsi="Times New Roman" w:cs="Times New Roman"/>
      <w:sz w:val="24"/>
      <w:szCs w:val="24"/>
      <w:lang w:val="en-US"/>
    </w:rPr>
  </w:style>
  <w:style w:type="paragraph" w:customStyle="1" w:styleId="CG-Numberl1">
    <w:name w:val="CG-Number l1"/>
    <w:basedOn w:val="a1"/>
    <w:qFormat/>
    <w:pPr>
      <w:tabs>
        <w:tab w:val="left" w:pos="360"/>
        <w:tab w:val="left" w:pos="3600"/>
      </w:tabs>
      <w:spacing w:after="0" w:line="240" w:lineRule="auto"/>
      <w:ind w:left="1440" w:hanging="720"/>
    </w:pPr>
    <w:rPr>
      <w:rFonts w:ascii="Times New Roman" w:eastAsia="Times New Roman" w:hAnsi="Times New Roman" w:cs="Times New Roman"/>
      <w:sz w:val="24"/>
      <w:szCs w:val="24"/>
      <w:lang w:val="en-US"/>
    </w:rPr>
  </w:style>
  <w:style w:type="paragraph" w:customStyle="1" w:styleId="CG-Numberr">
    <w:name w:val="CG-Number r"/>
    <w:basedOn w:val="a1"/>
    <w:qFormat/>
    <w:pPr>
      <w:tabs>
        <w:tab w:val="left" w:pos="720"/>
      </w:tabs>
      <w:spacing w:after="0" w:line="240" w:lineRule="auto"/>
      <w:ind w:left="1440" w:hanging="720"/>
    </w:pPr>
    <w:rPr>
      <w:rFonts w:ascii="Times New Roman" w:eastAsia="Times New Roman" w:hAnsi="Times New Roman" w:cs="Times New Roman"/>
      <w:sz w:val="24"/>
      <w:szCs w:val="24"/>
      <w:lang w:val="en-US"/>
    </w:rPr>
  </w:style>
  <w:style w:type="paragraph" w:customStyle="1" w:styleId="CG-NumberR1">
    <w:name w:val="CG-Number R1"/>
    <w:basedOn w:val="a1"/>
    <w:qFormat/>
    <w:pPr>
      <w:tabs>
        <w:tab w:val="left" w:pos="720"/>
      </w:tabs>
      <w:spacing w:after="0" w:line="240" w:lineRule="auto"/>
      <w:ind w:left="1440" w:hanging="720"/>
    </w:pPr>
    <w:rPr>
      <w:rFonts w:ascii="Times New Roman" w:eastAsia="Times New Roman" w:hAnsi="Times New Roman" w:cs="Times New Roman"/>
      <w:sz w:val="24"/>
      <w:szCs w:val="24"/>
      <w:lang w:val="en-US"/>
    </w:rPr>
  </w:style>
  <w:style w:type="paragraph" w:customStyle="1" w:styleId="CG-OneandOne-Half1">
    <w:name w:val="CG-One and One-Half 1"/>
    <w:basedOn w:val="a1"/>
    <w:qFormat/>
    <w:pPr>
      <w:spacing w:after="120" w:line="360" w:lineRule="auto"/>
      <w:ind w:firstLine="1440"/>
    </w:pPr>
    <w:rPr>
      <w:rFonts w:ascii="Times New Roman" w:eastAsia="Times New Roman" w:hAnsi="Times New Roman" w:cs="Times New Roman"/>
      <w:sz w:val="24"/>
      <w:szCs w:val="24"/>
      <w:lang w:val="en-US"/>
    </w:rPr>
  </w:style>
  <w:style w:type="paragraph" w:customStyle="1" w:styleId="CG-Sig">
    <w:name w:val="CG-Sig"/>
    <w:basedOn w:val="a1"/>
    <w:qFormat/>
    <w:pPr>
      <w:keepLines/>
      <w:tabs>
        <w:tab w:val="left" w:pos="5400"/>
        <w:tab w:val="left" w:pos="8640"/>
      </w:tabs>
      <w:spacing w:after="480" w:line="240" w:lineRule="auto"/>
      <w:ind w:left="5400" w:hanging="360"/>
    </w:pPr>
    <w:rPr>
      <w:rFonts w:ascii="Times New Roman" w:eastAsia="Times New Roman" w:hAnsi="Times New Roman" w:cs="Times New Roman"/>
      <w:sz w:val="24"/>
      <w:szCs w:val="24"/>
      <w:lang w:val="en-US"/>
    </w:rPr>
  </w:style>
  <w:style w:type="paragraph" w:customStyle="1" w:styleId="CG-SigLeft">
    <w:name w:val="CG-Sig Left"/>
    <w:basedOn w:val="a1"/>
    <w:qFormat/>
    <w:pPr>
      <w:keepLines/>
      <w:tabs>
        <w:tab w:val="left" w:pos="360"/>
        <w:tab w:val="left" w:pos="4050"/>
      </w:tabs>
      <w:spacing w:after="480" w:line="240" w:lineRule="auto"/>
      <w:ind w:left="360" w:hanging="360"/>
    </w:pPr>
    <w:rPr>
      <w:rFonts w:ascii="Times New Roman" w:eastAsia="Times New Roman" w:hAnsi="Times New Roman" w:cs="Times New Roman"/>
      <w:sz w:val="24"/>
      <w:szCs w:val="24"/>
      <w:lang w:val="en-US"/>
    </w:rPr>
  </w:style>
  <w:style w:type="paragraph" w:customStyle="1" w:styleId="CG-SigLtr">
    <w:name w:val="CG-Sig Ltr"/>
    <w:basedOn w:val="a1"/>
    <w:qFormat/>
    <w:pPr>
      <w:keepNext/>
      <w:spacing w:after="720" w:line="240" w:lineRule="auto"/>
      <w:ind w:left="5040"/>
    </w:pPr>
    <w:rPr>
      <w:rFonts w:ascii="Times New Roman" w:eastAsia="Times New Roman" w:hAnsi="Times New Roman" w:cs="Times New Roman"/>
      <w:sz w:val="24"/>
      <w:szCs w:val="24"/>
      <w:lang w:val="en-US"/>
    </w:rPr>
  </w:style>
  <w:style w:type="paragraph" w:customStyle="1" w:styleId="CG-Title-Center-Bold">
    <w:name w:val="CG-Title-Center-Bold"/>
    <w:basedOn w:val="a1"/>
    <w:next w:val="CG-SingleSp1"/>
    <w:qFormat/>
    <w:pPr>
      <w:keepNext/>
      <w:spacing w:after="240" w:line="240" w:lineRule="auto"/>
      <w:jc w:val="center"/>
    </w:pPr>
    <w:rPr>
      <w:rFonts w:ascii="Times New Roman" w:eastAsia="Times New Roman" w:hAnsi="Times New Roman" w:cs="Times New Roman"/>
      <w:b/>
      <w:bCs/>
      <w:sz w:val="24"/>
      <w:szCs w:val="24"/>
      <w:lang w:val="en-US"/>
    </w:rPr>
  </w:style>
  <w:style w:type="paragraph" w:customStyle="1" w:styleId="CG-Title-Center-Underscore">
    <w:name w:val="CG-Title-Center-Underscore"/>
    <w:basedOn w:val="a1"/>
    <w:next w:val="CG-SingleSp1"/>
    <w:qFormat/>
    <w:pPr>
      <w:keepNext/>
      <w:spacing w:after="240" w:line="240" w:lineRule="auto"/>
      <w:jc w:val="center"/>
    </w:pPr>
    <w:rPr>
      <w:rFonts w:ascii="Times New Roman" w:eastAsia="Times New Roman" w:hAnsi="Times New Roman" w:cs="Times New Roman"/>
      <w:sz w:val="24"/>
      <w:szCs w:val="24"/>
      <w:u w:val="single"/>
      <w:lang w:val="en-US"/>
    </w:rPr>
  </w:style>
  <w:style w:type="paragraph" w:customStyle="1" w:styleId="CG-Title-Left-Bold">
    <w:name w:val="CG-Title-Left-Bold"/>
    <w:basedOn w:val="a1"/>
    <w:next w:val="CG-SingleSp1"/>
    <w:qFormat/>
    <w:pPr>
      <w:keepNext/>
      <w:spacing w:after="240" w:line="240" w:lineRule="auto"/>
    </w:pPr>
    <w:rPr>
      <w:rFonts w:ascii="Times New Roman" w:eastAsia="Times New Roman" w:hAnsi="Times New Roman" w:cs="Times New Roman"/>
      <w:b/>
      <w:bCs/>
      <w:sz w:val="24"/>
      <w:szCs w:val="24"/>
      <w:lang w:val="en-US"/>
    </w:rPr>
  </w:style>
  <w:style w:type="paragraph" w:customStyle="1" w:styleId="CG-Title-Left-Italic">
    <w:name w:val="CG-Title-Left-Italic"/>
    <w:basedOn w:val="a1"/>
    <w:next w:val="a1"/>
    <w:qFormat/>
    <w:pPr>
      <w:keepNext/>
      <w:spacing w:after="240" w:line="240" w:lineRule="auto"/>
    </w:pPr>
    <w:rPr>
      <w:rFonts w:ascii="Times New Roman" w:eastAsia="Times New Roman" w:hAnsi="Times New Roman" w:cs="Times New Roman"/>
      <w:i/>
      <w:iCs/>
      <w:sz w:val="24"/>
      <w:szCs w:val="24"/>
      <w:lang w:val="en-US"/>
    </w:rPr>
  </w:style>
  <w:style w:type="paragraph" w:customStyle="1" w:styleId="CG-Title-LeftInd-Italic">
    <w:name w:val="CG-Title-Left Ind-Italic"/>
    <w:basedOn w:val="a1"/>
    <w:next w:val="a1"/>
    <w:qFormat/>
    <w:pPr>
      <w:keepNext/>
      <w:spacing w:after="240" w:line="240" w:lineRule="auto"/>
      <w:ind w:left="720"/>
    </w:pPr>
    <w:rPr>
      <w:rFonts w:ascii="Times New Roman" w:eastAsia="Times New Roman" w:hAnsi="Times New Roman" w:cs="Times New Roman"/>
      <w:i/>
      <w:iCs/>
      <w:sz w:val="24"/>
      <w:szCs w:val="24"/>
      <w:lang w:val="en-US"/>
    </w:rPr>
  </w:style>
  <w:style w:type="paragraph" w:customStyle="1" w:styleId="CG-Title-Left-Underscore">
    <w:name w:val="CG-Title-Left-Underscore"/>
    <w:basedOn w:val="a1"/>
    <w:next w:val="CG-SingleSp1"/>
    <w:qFormat/>
    <w:pPr>
      <w:keepNext/>
      <w:spacing w:after="240" w:line="240" w:lineRule="auto"/>
    </w:pPr>
    <w:rPr>
      <w:rFonts w:ascii="Times New Roman" w:eastAsia="Times New Roman" w:hAnsi="Times New Roman" w:cs="Times New Roman"/>
      <w:sz w:val="24"/>
      <w:szCs w:val="24"/>
      <w:u w:val="single"/>
      <w:lang w:val="en-US"/>
    </w:rPr>
  </w:style>
  <w:style w:type="paragraph" w:customStyle="1" w:styleId="lbs">
    <w:name w:val="lbs"/>
    <w:basedOn w:val="a2"/>
    <w:qFormat/>
    <w:pPr>
      <w:spacing w:before="240" w:after="240"/>
      <w:ind w:firstLine="720"/>
    </w:pPr>
    <w:rPr>
      <w:sz w:val="20"/>
      <w:szCs w:val="20"/>
      <w:lang w:val="en-GB" w:eastAsia="en-US"/>
    </w:rPr>
  </w:style>
  <w:style w:type="paragraph" w:customStyle="1" w:styleId="Body">
    <w:name w:val="_Body"/>
    <w:basedOn w:val="a1"/>
    <w:qFormat/>
    <w:pPr>
      <w:spacing w:after="200" w:line="240" w:lineRule="auto"/>
      <w:jc w:val="both"/>
    </w:pPr>
    <w:rPr>
      <w:rFonts w:ascii="Arial" w:eastAsia="Times New Roman" w:hAnsi="Arial" w:cs="Arial"/>
      <w:sz w:val="20"/>
      <w:szCs w:val="20"/>
      <w:lang w:val="en-GB"/>
    </w:rPr>
  </w:style>
  <w:style w:type="paragraph" w:customStyle="1" w:styleId="Char2">
    <w:name w:val="Char2"/>
    <w:basedOn w:val="a1"/>
    <w:qFormat/>
    <w:pPr>
      <w:spacing w:after="60" w:line="240" w:lineRule="auto"/>
    </w:pPr>
    <w:rPr>
      <w:rFonts w:ascii="Times New Roman" w:eastAsia="Times New Roman" w:hAnsi="Times New Roman" w:cs="Times New Roman"/>
      <w:sz w:val="18"/>
      <w:szCs w:val="18"/>
    </w:rPr>
  </w:style>
  <w:style w:type="paragraph" w:customStyle="1" w:styleId="1f8">
    <w:name w:val="???? ????1"/>
    <w:basedOn w:val="a1"/>
    <w:qFormat/>
    <w:pPr>
      <w:spacing w:after="60" w:line="240" w:lineRule="auto"/>
    </w:pPr>
    <w:rPr>
      <w:rFonts w:ascii="Times New Roman" w:eastAsia="Times New Roman" w:hAnsi="Times New Roman" w:cs="Times New Roman"/>
      <w:sz w:val="20"/>
      <w:szCs w:val="20"/>
    </w:rPr>
  </w:style>
  <w:style w:type="paragraph" w:customStyle="1" w:styleId="afffff">
    <w:name w:val="Основной текст ГО"/>
    <w:basedOn w:val="a1"/>
    <w:qFormat/>
    <w:pPr>
      <w:spacing w:after="0" w:line="360" w:lineRule="auto"/>
      <w:ind w:firstLine="680"/>
      <w:jc w:val="both"/>
    </w:pPr>
    <w:rPr>
      <w:rFonts w:ascii="Times New Roman" w:eastAsia="Times New Roman" w:hAnsi="Times New Roman" w:cs="Times New Roman"/>
      <w:sz w:val="24"/>
      <w:szCs w:val="24"/>
      <w:lang w:eastAsia="ru-RU"/>
    </w:rPr>
  </w:style>
  <w:style w:type="paragraph" w:customStyle="1" w:styleId="CharChar">
    <w:name w:val="Char Char"/>
    <w:basedOn w:val="a1"/>
    <w:qFormat/>
    <w:pPr>
      <w:spacing w:line="240" w:lineRule="exact"/>
    </w:pPr>
    <w:rPr>
      <w:rFonts w:ascii="Verdana" w:eastAsia="Times New Roman" w:hAnsi="Verdana" w:cs="Verdana"/>
      <w:sz w:val="20"/>
      <w:szCs w:val="20"/>
      <w:lang w:val="en-US"/>
    </w:rPr>
  </w:style>
  <w:style w:type="paragraph" w:customStyle="1" w:styleId="afffff0">
    <w:name w:val="Знак Знак Знак Знак"/>
    <w:basedOn w:val="a1"/>
    <w:qFormat/>
    <w:pPr>
      <w:spacing w:line="240" w:lineRule="exact"/>
    </w:pPr>
    <w:rPr>
      <w:rFonts w:ascii="Verdana" w:eastAsia="Times New Roman" w:hAnsi="Verdana" w:cs="Verdana"/>
      <w:sz w:val="20"/>
      <w:szCs w:val="20"/>
      <w:lang w:val="en-US"/>
    </w:rPr>
  </w:style>
  <w:style w:type="paragraph" w:customStyle="1" w:styleId="afffff1">
    <w:name w:val="Пункт"/>
    <w:basedOn w:val="a2"/>
    <w:qFormat/>
    <w:pPr>
      <w:spacing w:after="0" w:line="360" w:lineRule="auto"/>
      <w:jc w:val="both"/>
    </w:pPr>
    <w:rPr>
      <w:sz w:val="28"/>
      <w:szCs w:val="20"/>
    </w:rPr>
  </w:style>
  <w:style w:type="paragraph" w:customStyle="1" w:styleId="afffff2">
    <w:name w:val="Заголовок подраздела ГО"/>
    <w:basedOn w:val="a1"/>
    <w:qFormat/>
    <w:pPr>
      <w:spacing w:before="120" w:after="120" w:line="240" w:lineRule="auto"/>
      <w:ind w:firstLine="680"/>
      <w:jc w:val="both"/>
    </w:pPr>
    <w:rPr>
      <w:rFonts w:ascii="Times New Roman" w:eastAsia="Times New Roman" w:hAnsi="Times New Roman" w:cs="Times New Roman"/>
      <w:b/>
      <w:sz w:val="28"/>
      <w:szCs w:val="24"/>
      <w:lang w:eastAsia="ru-RU"/>
    </w:rPr>
  </w:style>
  <w:style w:type="paragraph" w:customStyle="1" w:styleId="afffff3">
    <w:name w:val="Название таблицы ГО"/>
    <w:basedOn w:val="afffff"/>
    <w:next w:val="afffff"/>
    <w:qFormat/>
    <w:pPr>
      <w:tabs>
        <w:tab w:val="left" w:pos="284"/>
      </w:tabs>
      <w:spacing w:after="120" w:line="240" w:lineRule="auto"/>
      <w:ind w:left="567" w:firstLine="0"/>
    </w:pPr>
    <w:rPr>
      <w:b/>
      <w:i/>
    </w:rPr>
  </w:style>
  <w:style w:type="paragraph" w:customStyle="1" w:styleId="afffff4">
    <w:name w:val="Название рисунка ГО"/>
    <w:basedOn w:val="a1"/>
    <w:next w:val="afffff"/>
    <w:qFormat/>
    <w:pPr>
      <w:spacing w:before="120" w:after="0" w:line="360" w:lineRule="auto"/>
      <w:ind w:firstLine="680"/>
      <w:jc w:val="both"/>
    </w:pPr>
    <w:rPr>
      <w:rFonts w:ascii="Times New Roman" w:eastAsia="Times New Roman" w:hAnsi="Times New Roman" w:cs="Times New Roman"/>
      <w:b/>
      <w:i/>
      <w:sz w:val="24"/>
      <w:szCs w:val="24"/>
      <w:lang w:eastAsia="ru-RU"/>
    </w:rPr>
  </w:style>
  <w:style w:type="paragraph" w:customStyle="1" w:styleId="afffff5">
    <w:name w:val="Номер таблицы"/>
    <w:basedOn w:val="a1"/>
    <w:next w:val="afffff"/>
    <w:qFormat/>
    <w:pPr>
      <w:spacing w:before="120" w:after="120" w:line="240" w:lineRule="auto"/>
      <w:ind w:firstLine="680"/>
      <w:jc w:val="both"/>
    </w:pPr>
    <w:rPr>
      <w:rFonts w:ascii="Times New Roman" w:eastAsia="Times New Roman" w:hAnsi="Times New Roman" w:cs="Times New Roman"/>
      <w:i/>
      <w:sz w:val="24"/>
      <w:szCs w:val="24"/>
      <w:lang w:eastAsia="ru-RU"/>
    </w:rPr>
  </w:style>
  <w:style w:type="paragraph" w:customStyle="1" w:styleId="afffff6">
    <w:name w:val="Одноуровневый нумерованный список"/>
    <w:basedOn w:val="a1"/>
    <w:next w:val="afffff"/>
    <w:qFormat/>
    <w:pPr>
      <w:tabs>
        <w:tab w:val="left" w:pos="1134"/>
      </w:tabs>
      <w:spacing w:after="0" w:line="360" w:lineRule="auto"/>
      <w:ind w:left="1134" w:hanging="454"/>
    </w:pPr>
    <w:rPr>
      <w:rFonts w:ascii="Times New Roman" w:eastAsia="Times New Roman" w:hAnsi="Times New Roman" w:cs="Times New Roman"/>
      <w:sz w:val="24"/>
      <w:szCs w:val="24"/>
      <w:lang w:eastAsia="ru-RU"/>
    </w:rPr>
  </w:style>
  <w:style w:type="paragraph" w:customStyle="1" w:styleId="afffff7">
    <w:name w:val="Многоуровневый нумерованый список"/>
    <w:basedOn w:val="a1"/>
    <w:next w:val="afffff"/>
    <w:qFormat/>
    <w:pPr>
      <w:tabs>
        <w:tab w:val="left" w:pos="1260"/>
      </w:tabs>
      <w:spacing w:after="0" w:line="360" w:lineRule="auto"/>
      <w:ind w:left="1260" w:hanging="360"/>
    </w:pPr>
    <w:rPr>
      <w:rFonts w:ascii="Times New Roman" w:eastAsia="Times New Roman" w:hAnsi="Times New Roman" w:cs="Times New Roman"/>
      <w:sz w:val="24"/>
      <w:szCs w:val="24"/>
      <w:lang w:eastAsia="ru-RU"/>
    </w:rPr>
  </w:style>
  <w:style w:type="paragraph" w:customStyle="1" w:styleId="afffff8">
    <w:name w:val="Многоуровневый маркерованный список"/>
    <w:basedOn w:val="afffff7"/>
    <w:qFormat/>
    <w:pPr>
      <w:tabs>
        <w:tab w:val="clear" w:pos="1260"/>
        <w:tab w:val="left" w:pos="720"/>
      </w:tabs>
      <w:ind w:left="720"/>
    </w:pPr>
  </w:style>
  <w:style w:type="paragraph" w:customStyle="1" w:styleId="afffff9">
    <w:name w:val="Одноуровневый маркерованный список"/>
    <w:basedOn w:val="afffff7"/>
    <w:qFormat/>
    <w:pPr>
      <w:tabs>
        <w:tab w:val="clear" w:pos="1260"/>
        <w:tab w:val="left" w:pos="1440"/>
      </w:tabs>
      <w:ind w:left="1440"/>
      <w:jc w:val="both"/>
    </w:pPr>
  </w:style>
  <w:style w:type="paragraph" w:customStyle="1" w:styleId="1f9">
    <w:name w:val="Обычный1"/>
    <w:qFormat/>
    <w:pPr>
      <w:spacing w:line="360" w:lineRule="atLeast"/>
    </w:pPr>
    <w:rPr>
      <w:rFonts w:ascii="Arbat-Bold" w:eastAsia="Pragmatica" w:hAnsi="Arbat-Bold" w:cs="Times New Roman"/>
      <w:szCs w:val="20"/>
      <w:lang w:eastAsia="ru-RU"/>
    </w:rPr>
  </w:style>
  <w:style w:type="paragraph" w:customStyle="1" w:styleId="afffffa">
    <w:name w:val="Обратный адрес"/>
    <w:basedOn w:val="a1"/>
    <w:qFormat/>
    <w:pPr>
      <w:keepLines/>
      <w:tabs>
        <w:tab w:val="left" w:pos="2160"/>
      </w:tabs>
      <w:spacing w:after="0" w:line="160" w:lineRule="atLeast"/>
      <w:ind w:firstLine="720"/>
    </w:pPr>
    <w:rPr>
      <w:rFonts w:ascii="Arial" w:eastAsia="Times New Roman" w:hAnsi="Arial" w:cs="Times New Roman"/>
      <w:sz w:val="14"/>
      <w:szCs w:val="20"/>
      <w:lang w:eastAsia="ru-RU"/>
    </w:rPr>
  </w:style>
  <w:style w:type="paragraph" w:customStyle="1" w:styleId="afffffb">
    <w:name w:val="Заголовок годового отчета"/>
    <w:basedOn w:val="a1"/>
    <w:qFormat/>
    <w:pPr>
      <w:spacing w:after="0" w:line="240" w:lineRule="auto"/>
    </w:pPr>
    <w:rPr>
      <w:rFonts w:ascii="Times New Roman" w:eastAsia="Times New Roman" w:hAnsi="Times New Roman" w:cs="Times New Roman"/>
      <w:b/>
      <w:caps/>
      <w:color w:val="003366"/>
      <w:sz w:val="48"/>
      <w:szCs w:val="24"/>
      <w:lang w:eastAsia="ru-RU"/>
    </w:rPr>
  </w:style>
  <w:style w:type="paragraph" w:customStyle="1" w:styleId="afffffc">
    <w:name w:val="Подраздел годового отчёта"/>
    <w:basedOn w:val="a1"/>
    <w:next w:val="a1"/>
    <w:qFormat/>
    <w:pPr>
      <w:spacing w:before="120" w:after="120" w:line="240" w:lineRule="auto"/>
      <w:ind w:firstLine="680"/>
    </w:pPr>
    <w:rPr>
      <w:rFonts w:ascii="Times New Roman" w:eastAsia="Times New Roman" w:hAnsi="Times New Roman" w:cs="Times New Roman"/>
      <w:b/>
      <w:bCs/>
      <w:sz w:val="28"/>
      <w:szCs w:val="24"/>
      <w:lang w:eastAsia="ru-RU"/>
    </w:rPr>
  </w:style>
  <w:style w:type="paragraph" w:customStyle="1" w:styleId="afffffd">
    <w:name w:val="Таблица ГО"/>
    <w:basedOn w:val="afff2"/>
    <w:qFormat/>
    <w:pPr>
      <w:suppressLineNumbers/>
      <w:pBdr>
        <w:top w:val="single" w:sz="12" w:space="1" w:color="3366FF"/>
        <w:left w:val="single" w:sz="12" w:space="4" w:color="3366FF"/>
        <w:bottom w:val="single" w:sz="12" w:space="1" w:color="3366FF"/>
        <w:right w:val="single" w:sz="12" w:space="4" w:color="3366FF"/>
      </w:pBdr>
      <w:jc w:val="center"/>
    </w:pPr>
    <w:rPr>
      <w:sz w:val="22"/>
    </w:rPr>
  </w:style>
  <w:style w:type="paragraph" w:customStyle="1" w:styleId="afffffe">
    <w:name w:val="Шапка таблицы ГО"/>
    <w:basedOn w:val="a2"/>
    <w:next w:val="a1"/>
    <w:qFormat/>
    <w:pPr>
      <w:suppressLineNumbers/>
      <w:pBdr>
        <w:top w:val="single" w:sz="12" w:space="1" w:color="3366FF"/>
        <w:left w:val="single" w:sz="12" w:space="4" w:color="3366FF"/>
        <w:bottom w:val="single" w:sz="12" w:space="1" w:color="3366FF"/>
        <w:right w:val="single" w:sz="12" w:space="4" w:color="3366FF"/>
      </w:pBdr>
      <w:spacing w:after="0"/>
      <w:jc w:val="center"/>
    </w:pPr>
    <w:rPr>
      <w:sz w:val="22"/>
      <w:szCs w:val="20"/>
    </w:rPr>
  </w:style>
  <w:style w:type="paragraph" w:customStyle="1" w:styleId="affffff">
    <w:name w:val="Текст таблицы  ГО"/>
    <w:basedOn w:val="a2"/>
    <w:qFormat/>
    <w:pPr>
      <w:suppressLineNumbers/>
      <w:spacing w:after="0"/>
      <w:jc w:val="center"/>
    </w:pPr>
    <w:rPr>
      <w:sz w:val="22"/>
      <w:szCs w:val="20"/>
    </w:rPr>
  </w:style>
  <w:style w:type="paragraph" w:customStyle="1" w:styleId="affffff0">
    <w:name w:val="Границы таблиц ГО"/>
    <w:basedOn w:val="aff8"/>
    <w:qFormat/>
    <w:pPr>
      <w:pBdr>
        <w:top w:val="single" w:sz="12" w:space="1" w:color="333399"/>
        <w:left w:val="single" w:sz="12" w:space="1" w:color="333399"/>
        <w:bottom w:val="single" w:sz="12" w:space="1" w:color="333399"/>
        <w:right w:val="single" w:sz="12" w:space="1" w:color="333399"/>
      </w:pBdr>
      <w:shd w:val="clear" w:color="auto" w:fill="auto"/>
    </w:pPr>
  </w:style>
  <w:style w:type="paragraph" w:customStyle="1" w:styleId="affffff1">
    <w:name w:val="Текст шапки таблицы  ГО"/>
    <w:basedOn w:val="a2"/>
    <w:qFormat/>
    <w:pPr>
      <w:suppressLineNumbers/>
      <w:spacing w:after="0"/>
      <w:jc w:val="center"/>
    </w:pPr>
    <w:rPr>
      <w:szCs w:val="20"/>
    </w:rPr>
  </w:style>
  <w:style w:type="paragraph" w:customStyle="1" w:styleId="affffff2">
    <w:name w:val="Заголовок таблицы ГО"/>
    <w:basedOn w:val="a2"/>
    <w:qFormat/>
    <w:pPr>
      <w:suppressLineNumbers/>
      <w:spacing w:before="120"/>
      <w:ind w:firstLine="567"/>
      <w:jc w:val="both"/>
    </w:pPr>
    <w:rPr>
      <w:b/>
      <w:i/>
      <w:szCs w:val="20"/>
    </w:rPr>
  </w:style>
  <w:style w:type="paragraph" w:customStyle="1" w:styleId="affffff3">
    <w:name w:val="Заголовок раздела ГО"/>
    <w:basedOn w:val="a1"/>
    <w:qFormat/>
    <w:pPr>
      <w:spacing w:before="1080" w:after="720" w:line="240" w:lineRule="auto"/>
      <w:jc w:val="center"/>
    </w:pPr>
    <w:rPr>
      <w:rFonts w:ascii="Times New Roman" w:eastAsia="Times New Roman" w:hAnsi="Times New Roman" w:cs="Times New Roman"/>
      <w:b/>
      <w:spacing w:val="100"/>
      <w:sz w:val="48"/>
      <w:szCs w:val="24"/>
      <w:lang w:eastAsia="ru-RU"/>
    </w:rPr>
  </w:style>
  <w:style w:type="paragraph" w:customStyle="1" w:styleId="affffff4">
    <w:name w:val="Оглавление ГО"/>
    <w:basedOn w:val="1f3"/>
    <w:qFormat/>
    <w:pPr>
      <w:tabs>
        <w:tab w:val="right" w:leader="dot" w:pos="9628"/>
      </w:tabs>
      <w:spacing w:before="120" w:after="120"/>
      <w:ind w:right="0"/>
    </w:pPr>
    <w:rPr>
      <w:b/>
      <w:bCs/>
      <w:i/>
      <w:sz w:val="24"/>
      <w:szCs w:val="24"/>
    </w:rPr>
  </w:style>
  <w:style w:type="paragraph" w:customStyle="1" w:styleId="xl22">
    <w:name w:val="xl22"/>
    <w:basedOn w:val="a1"/>
    <w:qFormat/>
    <w:pPr>
      <w:spacing w:beforeAutospacing="1" w:afterAutospacing="1" w:line="240" w:lineRule="auto"/>
    </w:pPr>
    <w:rPr>
      <w:rFonts w:ascii="Arial" w:eastAsia="Times New Roman" w:hAnsi="Arial" w:cs="Times New Roman"/>
      <w:sz w:val="12"/>
      <w:szCs w:val="12"/>
      <w:lang w:eastAsia="ru-RU"/>
    </w:rPr>
  </w:style>
  <w:style w:type="paragraph" w:customStyle="1" w:styleId="xl23">
    <w:name w:val="xl23"/>
    <w:basedOn w:val="a1"/>
    <w:qFormat/>
    <w:pPr>
      <w:pBdr>
        <w:top w:val="single" w:sz="8" w:space="0" w:color="000000"/>
        <w:left w:val="single" w:sz="8" w:space="0" w:color="000000"/>
        <w:bottom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24">
    <w:name w:val="xl24"/>
    <w:basedOn w:val="a1"/>
    <w:qFormat/>
    <w:pPr>
      <w:pBdr>
        <w:top w:val="single" w:sz="8" w:space="0" w:color="000000"/>
        <w:left w:val="single" w:sz="8" w:space="0" w:color="000000"/>
        <w:bottom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25">
    <w:name w:val="xl25"/>
    <w:basedOn w:val="a1"/>
    <w:qFormat/>
    <w:pPr>
      <w:pBdr>
        <w:left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26">
    <w:name w:val="xl26"/>
    <w:basedOn w:val="a1"/>
    <w:qFormat/>
    <w:pPr>
      <w:pBdr>
        <w:left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27">
    <w:name w:val="xl27"/>
    <w:basedOn w:val="a1"/>
    <w:qFormat/>
    <w:pPr>
      <w:pBdr>
        <w:left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28">
    <w:name w:val="xl28"/>
    <w:basedOn w:val="a1"/>
    <w:qFormat/>
    <w:pPr>
      <w:pBdr>
        <w:left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29">
    <w:name w:val="xl29"/>
    <w:basedOn w:val="a1"/>
    <w:qFormat/>
    <w:pPr>
      <w:pBdr>
        <w:left w:val="single" w:sz="8" w:space="0" w:color="000000"/>
        <w:right w:val="single" w:sz="8" w:space="0" w:color="000000"/>
      </w:pBdr>
      <w:spacing w:beforeAutospacing="1" w:afterAutospacing="1" w:line="240" w:lineRule="auto"/>
    </w:pPr>
    <w:rPr>
      <w:rFonts w:ascii="Arial" w:eastAsia="Times New Roman" w:hAnsi="Arial" w:cs="Times New Roman"/>
      <w:sz w:val="12"/>
      <w:szCs w:val="12"/>
      <w:lang w:eastAsia="ru-RU"/>
    </w:rPr>
  </w:style>
  <w:style w:type="paragraph" w:customStyle="1" w:styleId="xl30">
    <w:name w:val="xl30"/>
    <w:basedOn w:val="a1"/>
    <w:qFormat/>
    <w:pPr>
      <w:pBdr>
        <w:left w:val="single" w:sz="8" w:space="0" w:color="000000"/>
        <w:bottom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31">
    <w:name w:val="xl31"/>
    <w:basedOn w:val="a1"/>
    <w:qFormat/>
    <w:pPr>
      <w:pBdr>
        <w:left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32">
    <w:name w:val="xl32"/>
    <w:basedOn w:val="a1"/>
    <w:qFormat/>
    <w:pPr>
      <w:pBdr>
        <w:left w:val="single" w:sz="8" w:space="0" w:color="000000"/>
        <w:bottom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33">
    <w:name w:val="xl33"/>
    <w:basedOn w:val="a1"/>
    <w:qFormat/>
    <w:pPr>
      <w:pBdr>
        <w:left w:val="single" w:sz="4" w:space="0" w:color="000000"/>
        <w:bottom w:val="single" w:sz="8" w:space="0" w:color="000000"/>
        <w:right w:val="single" w:sz="4"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34">
    <w:name w:val="xl34"/>
    <w:basedOn w:val="a1"/>
    <w:qFormat/>
    <w:pPr>
      <w:pBdr>
        <w:left w:val="single" w:sz="8" w:space="0" w:color="000000"/>
        <w:bottom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35">
    <w:name w:val="xl35"/>
    <w:basedOn w:val="a1"/>
    <w:qFormat/>
    <w:pPr>
      <w:pBdr>
        <w:left w:val="single" w:sz="8" w:space="0" w:color="000000"/>
        <w:bottom w:val="single" w:sz="8" w:space="0" w:color="000000"/>
        <w:right w:val="single" w:sz="8" w:space="0" w:color="000000"/>
      </w:pBdr>
      <w:spacing w:beforeAutospacing="1" w:afterAutospacing="1" w:line="240" w:lineRule="auto"/>
    </w:pPr>
    <w:rPr>
      <w:rFonts w:ascii="Arial" w:eastAsia="Times New Roman" w:hAnsi="Arial" w:cs="Times New Roman"/>
      <w:sz w:val="12"/>
      <w:szCs w:val="12"/>
      <w:lang w:eastAsia="ru-RU"/>
    </w:rPr>
  </w:style>
  <w:style w:type="paragraph" w:customStyle="1" w:styleId="xl36">
    <w:name w:val="xl36"/>
    <w:basedOn w:val="a1"/>
    <w:qFormat/>
    <w:pPr>
      <w:pBdr>
        <w:left w:val="single" w:sz="8" w:space="0" w:color="000000"/>
        <w:right w:val="single" w:sz="8" w:space="0" w:color="000000"/>
      </w:pBdr>
      <w:spacing w:beforeAutospacing="1" w:afterAutospacing="1" w:line="240" w:lineRule="auto"/>
    </w:pPr>
    <w:rPr>
      <w:rFonts w:ascii="Arial" w:eastAsia="Times New Roman" w:hAnsi="Arial" w:cs="Times New Roman"/>
      <w:sz w:val="12"/>
      <w:szCs w:val="12"/>
      <w:lang w:eastAsia="ru-RU"/>
    </w:rPr>
  </w:style>
  <w:style w:type="paragraph" w:customStyle="1" w:styleId="xl37">
    <w:name w:val="xl37"/>
    <w:basedOn w:val="a1"/>
    <w:qFormat/>
    <w:pPr>
      <w:pBdr>
        <w:left w:val="single" w:sz="8" w:space="0" w:color="000000"/>
        <w:bottom w:val="single" w:sz="8" w:space="0" w:color="000000"/>
        <w:right w:val="single" w:sz="8" w:space="0" w:color="000000"/>
      </w:pBdr>
      <w:spacing w:beforeAutospacing="1" w:afterAutospacing="1" w:line="240" w:lineRule="auto"/>
    </w:pPr>
    <w:rPr>
      <w:rFonts w:ascii="Arial" w:eastAsia="Times New Roman" w:hAnsi="Arial" w:cs="Times New Roman"/>
      <w:sz w:val="12"/>
      <w:szCs w:val="12"/>
      <w:lang w:eastAsia="ru-RU"/>
    </w:rPr>
  </w:style>
  <w:style w:type="paragraph" w:customStyle="1" w:styleId="xl38">
    <w:name w:val="xl38"/>
    <w:basedOn w:val="a1"/>
    <w:qFormat/>
    <w:pPr>
      <w:pBdr>
        <w:left w:val="single" w:sz="8" w:space="0" w:color="000000"/>
        <w:bottom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39">
    <w:name w:val="xl39"/>
    <w:basedOn w:val="a1"/>
    <w:qFormat/>
    <w:pPr>
      <w:pBdr>
        <w:left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40">
    <w:name w:val="xl40"/>
    <w:basedOn w:val="a1"/>
    <w:qFormat/>
    <w:pPr>
      <w:pBdr>
        <w:left w:val="single" w:sz="8" w:space="0" w:color="000000"/>
        <w:bottom w:val="single" w:sz="8" w:space="0" w:color="000000"/>
        <w:right w:val="single" w:sz="8" w:space="0" w:color="000000"/>
      </w:pBdr>
      <w:spacing w:beforeAutospacing="1" w:afterAutospacing="1" w:line="240" w:lineRule="auto"/>
      <w:jc w:val="center"/>
    </w:pPr>
    <w:rPr>
      <w:rFonts w:ascii="Arial" w:eastAsia="Times New Roman" w:hAnsi="Arial" w:cs="Times New Roman"/>
      <w:sz w:val="12"/>
      <w:szCs w:val="12"/>
      <w:lang w:eastAsia="ru-RU"/>
    </w:rPr>
  </w:style>
  <w:style w:type="paragraph" w:customStyle="1" w:styleId="xl41">
    <w:name w:val="xl41"/>
    <w:basedOn w:val="a1"/>
    <w:qFormat/>
    <w:pPr>
      <w:spacing w:beforeAutospacing="1" w:afterAutospacing="1" w:line="240" w:lineRule="auto"/>
      <w:jc w:val="center"/>
    </w:pPr>
    <w:rPr>
      <w:rFonts w:ascii="Arial" w:eastAsia="Times New Roman" w:hAnsi="Arial" w:cs="Times New Roman"/>
      <w:b/>
      <w:bCs/>
      <w:sz w:val="16"/>
      <w:szCs w:val="16"/>
      <w:lang w:eastAsia="ru-RU"/>
    </w:rPr>
  </w:style>
  <w:style w:type="paragraph" w:customStyle="1" w:styleId="xl42">
    <w:name w:val="xl42"/>
    <w:basedOn w:val="a1"/>
    <w:qFormat/>
    <w:pPr>
      <w:spacing w:beforeAutospacing="1" w:afterAutospacing="1" w:line="240" w:lineRule="auto"/>
      <w:jc w:val="center"/>
    </w:pPr>
    <w:rPr>
      <w:rFonts w:ascii="Arial" w:eastAsia="Times New Roman" w:hAnsi="Arial" w:cs="Times New Roman"/>
      <w:b/>
      <w:bCs/>
      <w:sz w:val="24"/>
      <w:szCs w:val="24"/>
      <w:lang w:eastAsia="ru-RU"/>
    </w:rPr>
  </w:style>
  <w:style w:type="paragraph" w:customStyle="1" w:styleId="214">
    <w:name w:val="Основной текст 21"/>
    <w:basedOn w:val="a1"/>
    <w:qFormat/>
    <w:pPr>
      <w:spacing w:after="0" w:line="240" w:lineRule="auto"/>
      <w:ind w:firstLine="709"/>
      <w:jc w:val="center"/>
    </w:pPr>
    <w:rPr>
      <w:rFonts w:ascii="Arial" w:eastAsia="Times New Roman" w:hAnsi="Arial" w:cs="Times New Roman"/>
      <w:b/>
      <w:sz w:val="28"/>
      <w:szCs w:val="20"/>
      <w:lang w:eastAsia="ru-RU"/>
    </w:rPr>
  </w:style>
  <w:style w:type="paragraph" w:customStyle="1" w:styleId="ac0">
    <w:name w:val="ac"/>
    <w:basedOn w:val="a1"/>
    <w:qFormat/>
    <w:pPr>
      <w:spacing w:beforeAutospacing="1" w:afterAutospacing="1" w:line="240" w:lineRule="auto"/>
      <w:jc w:val="center"/>
    </w:pPr>
    <w:rPr>
      <w:rFonts w:ascii="Verdana" w:eastAsia="Arial Unicode MS" w:hAnsi="Verdana" w:cs="Arial Unicode MS"/>
      <w:color w:val="000000"/>
      <w:sz w:val="20"/>
      <w:szCs w:val="20"/>
      <w:lang w:eastAsia="ru-RU"/>
    </w:rPr>
  </w:style>
  <w:style w:type="paragraph" w:customStyle="1" w:styleId="ThinDelim">
    <w:name w:val="Thin Delim"/>
    <w:qFormat/>
    <w:pPr>
      <w:widowControl w:val="0"/>
    </w:pPr>
    <w:rPr>
      <w:rFonts w:ascii="Times New Roman" w:eastAsia="Times New Roman" w:hAnsi="Times New Roman" w:cs="Times New Roman"/>
      <w:sz w:val="16"/>
      <w:szCs w:val="16"/>
      <w:lang w:eastAsia="ru-RU"/>
    </w:rPr>
  </w:style>
  <w:style w:type="paragraph" w:customStyle="1" w:styleId="CharChar1CharCharCharCharCharCharCharCharCharCharCharCharCharChar">
    <w:name w:val="Char Char1 Char Char Char Char Char Char Char Char Char Знак Знак Char Char Char Char Char"/>
    <w:basedOn w:val="a1"/>
    <w:qFormat/>
    <w:pPr>
      <w:spacing w:line="240" w:lineRule="exact"/>
    </w:pPr>
    <w:rPr>
      <w:rFonts w:ascii="Times New Roman" w:eastAsia="Times New Roman" w:hAnsi="Times New Roman" w:cs="Times New Roman"/>
      <w:sz w:val="20"/>
      <w:szCs w:val="20"/>
      <w:lang w:val="en-US" w:eastAsia="zh-CN"/>
    </w:rPr>
  </w:style>
  <w:style w:type="paragraph" w:customStyle="1" w:styleId="SubHeading">
    <w:name w:val="Sub Heading"/>
    <w:qFormat/>
    <w:pPr>
      <w:widowControl w:val="0"/>
      <w:spacing w:before="80" w:after="20"/>
    </w:pPr>
    <w:rPr>
      <w:rFonts w:ascii="Times New Roman" w:eastAsia="Times New Roman" w:hAnsi="Times New Roman" w:cs="Times New Roman"/>
      <w:sz w:val="20"/>
      <w:szCs w:val="20"/>
      <w:lang w:eastAsia="ru-RU"/>
    </w:rPr>
  </w:style>
  <w:style w:type="paragraph" w:customStyle="1" w:styleId="zKISOffAddress">
    <w:name w:val="zKISOffAddress"/>
    <w:basedOn w:val="a1"/>
    <w:qFormat/>
    <w:pPr>
      <w:spacing w:after="0" w:line="190" w:lineRule="exact"/>
    </w:pPr>
    <w:rPr>
      <w:rFonts w:ascii="Univers 45 Light" w:eastAsia="Times New Roman" w:hAnsi="Univers 45 Light" w:cs="Times New Roman"/>
      <w:sz w:val="15"/>
      <w:szCs w:val="20"/>
      <w:lang w:val="en-US"/>
    </w:rPr>
  </w:style>
  <w:style w:type="paragraph" w:customStyle="1" w:styleId="zKISDescFooter">
    <w:name w:val="zKISDescFooter"/>
    <w:basedOn w:val="a1"/>
    <w:qFormat/>
    <w:pPr>
      <w:spacing w:after="0" w:line="130" w:lineRule="exact"/>
    </w:pPr>
    <w:rPr>
      <w:rFonts w:ascii="Univers 45 Light" w:eastAsia="Times New Roman" w:hAnsi="Univers 45 Light" w:cs="Times New Roman"/>
      <w:sz w:val="11"/>
      <w:szCs w:val="20"/>
      <w:lang w:val="en-US"/>
    </w:rPr>
  </w:style>
  <w:style w:type="paragraph" w:customStyle="1" w:styleId="tabletext">
    <w:name w:val="table_text"/>
    <w:basedOn w:val="a1"/>
    <w:qFormat/>
    <w:pPr>
      <w:spacing w:before="65" w:after="65" w:line="240" w:lineRule="auto"/>
    </w:pPr>
    <w:rPr>
      <w:rFonts w:ascii="Times New Roman" w:eastAsia="Times New Roman" w:hAnsi="Times New Roman" w:cs="Times New Roman"/>
      <w:sz w:val="20"/>
      <w:szCs w:val="24"/>
      <w:lang w:val="en-US"/>
    </w:rPr>
  </w:style>
  <w:style w:type="paragraph" w:customStyle="1" w:styleId="body0">
    <w:name w:val="body"/>
    <w:basedOn w:val="a1"/>
    <w:qFormat/>
    <w:pPr>
      <w:keepNext/>
      <w:spacing w:before="260" w:after="260" w:line="240" w:lineRule="auto"/>
      <w:jc w:val="both"/>
    </w:pPr>
    <w:rPr>
      <w:rFonts w:ascii="Times New Roman" w:eastAsia="Times New Roman" w:hAnsi="Times New Roman" w:cs="Times New Roman"/>
      <w:b/>
      <w:bCs/>
      <w:sz w:val="24"/>
      <w:szCs w:val="24"/>
      <w:lang w:val="en-US"/>
    </w:rPr>
  </w:style>
  <w:style w:type="paragraph" w:customStyle="1" w:styleId="tabelLinks">
    <w:name w:val="tabelLinks"/>
    <w:basedOn w:val="a1"/>
    <w:qFormat/>
    <w:pPr>
      <w:spacing w:after="0" w:line="259" w:lineRule="exact"/>
    </w:pPr>
    <w:rPr>
      <w:rFonts w:ascii="Times" w:eastAsia="Times New Roman" w:hAnsi="Times" w:cs="Times New Roman"/>
      <w:sz w:val="18"/>
      <w:szCs w:val="20"/>
      <w:lang w:val="en-GB"/>
    </w:rPr>
  </w:style>
  <w:style w:type="paragraph" w:customStyle="1" w:styleId="affffff5">
    <w:name w:val="Стиль"/>
    <w:basedOn w:val="a1"/>
    <w:qFormat/>
    <w:pPr>
      <w:widowControl w:val="0"/>
      <w:spacing w:line="240" w:lineRule="exact"/>
      <w:jc w:val="right"/>
    </w:pPr>
    <w:rPr>
      <w:rFonts w:ascii="Times New Roman" w:eastAsia="Times New Roman" w:hAnsi="Times New Roman" w:cs="Times New Roman"/>
      <w:sz w:val="20"/>
      <w:szCs w:val="20"/>
      <w:lang w:val="en-GB"/>
    </w:rPr>
  </w:style>
  <w:style w:type="paragraph" w:customStyle="1" w:styleId="tblHeaderText">
    <w:name w:val="tbl'HeaderText"/>
    <w:basedOn w:val="tblText00"/>
    <w:qFormat/>
    <w:pPr>
      <w:jc w:val="center"/>
    </w:pPr>
    <w:rPr>
      <w:b/>
      <w:bCs/>
      <w:spacing w:val="-2"/>
    </w:rPr>
  </w:style>
  <w:style w:type="paragraph" w:styleId="affffff6">
    <w:name w:val="TOC Heading"/>
    <w:basedOn w:val="1"/>
    <w:next w:val="a1"/>
    <w:uiPriority w:val="39"/>
    <w:unhideWhenUsed/>
    <w:qFormat/>
    <w:pPr>
      <w:keepLines/>
      <w:spacing w:after="0" w:line="259" w:lineRule="auto"/>
      <w:jc w:val="left"/>
      <w:outlineLvl w:val="9"/>
    </w:pPr>
    <w:rPr>
      <w:rFonts w:asciiTheme="majorHAnsi" w:eastAsiaTheme="majorEastAsia" w:hAnsiTheme="majorHAnsi" w:cstheme="majorBidi"/>
      <w:color w:val="2F5496" w:themeColor="accent1" w:themeShade="BF"/>
      <w:sz w:val="32"/>
      <w:szCs w:val="32"/>
      <w:lang w:val="ru-RU" w:eastAsia="ru-RU"/>
    </w:rPr>
  </w:style>
  <w:style w:type="paragraph" w:styleId="2f1">
    <w:name w:val="toc 2"/>
    <w:basedOn w:val="a1"/>
    <w:next w:val="a1"/>
    <w:uiPriority w:val="39"/>
    <w:unhideWhenUsed/>
    <w:qFormat/>
    <w:pPr>
      <w:tabs>
        <w:tab w:val="right" w:pos="9345"/>
      </w:tabs>
      <w:spacing w:after="100"/>
      <w:ind w:left="220"/>
    </w:pPr>
  </w:style>
  <w:style w:type="paragraph" w:styleId="3d">
    <w:name w:val="toc 3"/>
    <w:basedOn w:val="a1"/>
    <w:next w:val="a1"/>
    <w:uiPriority w:val="39"/>
    <w:unhideWhenUsed/>
    <w:qFormat/>
    <w:pPr>
      <w:spacing w:after="100"/>
      <w:ind w:left="440"/>
    </w:pPr>
  </w:style>
  <w:style w:type="paragraph" w:styleId="affffff7">
    <w:name w:val="Revision"/>
    <w:uiPriority w:val="99"/>
    <w:semiHidden/>
    <w:qFormat/>
  </w:style>
  <w:style w:type="paragraph" w:customStyle="1" w:styleId="pf0">
    <w:name w:val="pf0"/>
    <w:basedOn w:val="a1"/>
    <w:qFormat/>
    <w:pPr>
      <w:spacing w:beforeAutospacing="1" w:afterAutospacing="1" w:line="240" w:lineRule="auto"/>
    </w:pPr>
    <w:rPr>
      <w:rFonts w:ascii="Times New Roman" w:eastAsia="Times New Roman" w:hAnsi="Times New Roman" w:cs="Times New Roman"/>
      <w:sz w:val="24"/>
      <w:szCs w:val="24"/>
      <w:lang w:eastAsia="ru-RU"/>
    </w:rPr>
  </w:style>
  <w:style w:type="paragraph" w:styleId="HTML2">
    <w:name w:val="HTML Preformatted"/>
    <w:basedOn w:val="a1"/>
    <w:link w:val="HTML1"/>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paragraph" w:customStyle="1" w:styleId="bodytext">
    <w:name w:val="bodytex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13">
    <w:name w:val="s_13"/>
    <w:basedOn w:val="a1"/>
    <w:uiPriority w:val="99"/>
    <w:qFormat/>
    <w:pPr>
      <w:spacing w:after="0" w:line="240" w:lineRule="auto"/>
      <w:ind w:firstLine="720"/>
    </w:pPr>
    <w:rPr>
      <w:rFonts w:ascii="Times New Roman" w:eastAsia="Times New Roman" w:hAnsi="Times New Roman" w:cs="Times New Roman"/>
      <w:sz w:val="20"/>
      <w:szCs w:val="20"/>
      <w:lang w:eastAsia="ru-RU"/>
    </w:rPr>
  </w:style>
  <w:style w:type="paragraph" w:customStyle="1" w:styleId="Pa1">
    <w:name w:val="Pa1"/>
    <w:basedOn w:val="Default"/>
    <w:next w:val="Default"/>
    <w:uiPriority w:val="99"/>
    <w:qFormat/>
  </w:style>
  <w:style w:type="paragraph" w:customStyle="1" w:styleId="paragraphjustifyindent">
    <w:name w:val="paragraph_justify_inden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vps38131">
    <w:name w:val="rvps38131"/>
    <w:basedOn w:val="a1"/>
    <w:uiPriority w:val="99"/>
    <w:qFormat/>
    <w:pPr>
      <w:spacing w:before="240" w:after="240" w:line="312" w:lineRule="atLeast"/>
      <w:ind w:left="375" w:right="375"/>
      <w:jc w:val="both"/>
    </w:pPr>
    <w:rPr>
      <w:rFonts w:ascii="Times New Roman" w:eastAsia="Times New Roman" w:hAnsi="Times New Roman" w:cs="Times New Roman"/>
      <w:sz w:val="24"/>
      <w:szCs w:val="24"/>
      <w:lang w:eastAsia="ru-RU"/>
    </w:rPr>
  </w:style>
  <w:style w:type="paragraph" w:customStyle="1" w:styleId="wp-caption-text">
    <w:name w:val="wp-caption-tex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lear">
    <w:name w:val="clear"/>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logo">
    <w:name w:val="logo"/>
    <w:basedOn w:val="a1"/>
    <w:uiPriority w:val="99"/>
    <w:qFormat/>
    <w:pPr>
      <w:spacing w:before="270" w:after="0" w:line="450" w:lineRule="atLeast"/>
      <w:ind w:left="225"/>
    </w:pPr>
    <w:rPr>
      <w:rFonts w:ascii="Georgia" w:eastAsia="Times New Roman" w:hAnsi="Georgia" w:cs="Times New Roman"/>
      <w:caps/>
      <w:sz w:val="54"/>
      <w:szCs w:val="54"/>
      <w:lang w:eastAsia="ru-RU"/>
    </w:rPr>
  </w:style>
  <w:style w:type="paragraph" w:customStyle="1" w:styleId="topnav">
    <w:name w:val="topnav"/>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top-rss">
    <w:name w:val="top-rss"/>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op-email">
    <w:name w:val="top-email"/>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op-twitter">
    <w:name w:val="top-twitter"/>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op-facebook">
    <w:name w:val="top-facebook"/>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nav">
    <w:name w:val="nav"/>
    <w:basedOn w:val="a1"/>
    <w:uiPriority w:val="99"/>
    <w:qFormat/>
    <w:pPr>
      <w:spacing w:after="0" w:line="240" w:lineRule="auto"/>
      <w:ind w:right="-180"/>
    </w:pPr>
    <w:rPr>
      <w:rFonts w:ascii="Times New Roman" w:eastAsia="Times New Roman" w:hAnsi="Times New Roman" w:cs="Times New Roman"/>
      <w:sz w:val="24"/>
      <w:szCs w:val="24"/>
      <w:lang w:eastAsia="ru-RU"/>
    </w:rPr>
  </w:style>
  <w:style w:type="paragraph" w:customStyle="1" w:styleId="more">
    <w:name w:val="more"/>
    <w:basedOn w:val="a1"/>
    <w:uiPriority w:val="99"/>
    <w:qFormat/>
    <w:pPr>
      <w:spacing w:before="90" w:after="90" w:line="240" w:lineRule="auto"/>
      <w:ind w:left="90" w:right="90"/>
      <w:jc w:val="right"/>
    </w:pPr>
    <w:rPr>
      <w:rFonts w:ascii="Times New Roman" w:eastAsia="Times New Roman" w:hAnsi="Times New Roman" w:cs="Times New Roman"/>
      <w:caps/>
      <w:sz w:val="17"/>
      <w:szCs w:val="17"/>
      <w:lang w:eastAsia="ru-RU"/>
    </w:rPr>
  </w:style>
  <w:style w:type="paragraph" w:customStyle="1" w:styleId="pc-next">
    <w:name w:val="pc-next"/>
    <w:basedOn w:val="a1"/>
    <w:uiPriority w:val="99"/>
    <w:qFormat/>
    <w:pPr>
      <w:spacing w:before="60" w:after="0" w:line="240" w:lineRule="auto"/>
      <w:ind w:left="60" w:right="60" w:hanging="22480"/>
    </w:pPr>
    <w:rPr>
      <w:rFonts w:ascii="Times New Roman" w:eastAsia="Times New Roman" w:hAnsi="Times New Roman" w:cs="Times New Roman"/>
      <w:sz w:val="24"/>
      <w:szCs w:val="24"/>
      <w:lang w:eastAsia="ru-RU"/>
    </w:rPr>
  </w:style>
  <w:style w:type="paragraph" w:customStyle="1" w:styleId="pc-prev">
    <w:name w:val="pc-prev"/>
    <w:basedOn w:val="a1"/>
    <w:uiPriority w:val="99"/>
    <w:qFormat/>
    <w:pPr>
      <w:spacing w:before="60" w:after="0" w:line="240" w:lineRule="auto"/>
      <w:ind w:left="60" w:right="60" w:hanging="22480"/>
    </w:pPr>
    <w:rPr>
      <w:rFonts w:ascii="Times New Roman" w:eastAsia="Times New Roman" w:hAnsi="Times New Roman" w:cs="Times New Roman"/>
      <w:sz w:val="24"/>
      <w:szCs w:val="24"/>
      <w:lang w:eastAsia="ru-RU"/>
    </w:rPr>
  </w:style>
  <w:style w:type="paragraph" w:customStyle="1" w:styleId="catbox-title">
    <w:name w:val="catbox-title"/>
    <w:basedOn w:val="a1"/>
    <w:uiPriority w:val="99"/>
    <w:qFormat/>
    <w:pPr>
      <w:pBdr>
        <w:top w:val="single" w:sz="6" w:space="6" w:color="ECEDE8"/>
        <w:bottom w:val="single" w:sz="6" w:space="5" w:color="ECEDE8"/>
      </w:pBdr>
      <w:shd w:val="clear" w:color="auto" w:fill="FAFAFA"/>
      <w:spacing w:beforeAutospacing="1" w:afterAutospacing="1" w:line="240" w:lineRule="auto"/>
    </w:pPr>
    <w:rPr>
      <w:rFonts w:ascii="Arial" w:eastAsia="Times New Roman" w:hAnsi="Arial" w:cs="Arial"/>
      <w:caps/>
      <w:sz w:val="20"/>
      <w:szCs w:val="20"/>
      <w:lang w:eastAsia="ru-RU"/>
    </w:rPr>
  </w:style>
  <w:style w:type="paragraph" w:customStyle="1" w:styleId="headline">
    <w:name w:val="headline"/>
    <w:basedOn w:val="a1"/>
    <w:uiPriority w:val="99"/>
    <w:qFormat/>
    <w:pPr>
      <w:pBdr>
        <w:bottom w:val="single" w:sz="6" w:space="15" w:color="ECEDE8"/>
      </w:pBdr>
      <w:spacing w:after="225" w:line="240" w:lineRule="auto"/>
    </w:pPr>
    <w:rPr>
      <w:rFonts w:ascii="Times New Roman" w:eastAsia="Times New Roman" w:hAnsi="Times New Roman" w:cs="Times New Roman"/>
      <w:color w:val="999999"/>
      <w:sz w:val="33"/>
      <w:szCs w:val="33"/>
      <w:lang w:eastAsia="ru-RU"/>
    </w:rPr>
  </w:style>
  <w:style w:type="paragraph" w:customStyle="1" w:styleId="display">
    <w:name w:val="display"/>
    <w:basedOn w:val="a1"/>
    <w:uiPriority w:val="99"/>
    <w:qFormat/>
    <w:pPr>
      <w:spacing w:before="150" w:after="0" w:line="240" w:lineRule="auto"/>
      <w:ind w:right="75" w:hanging="22480"/>
    </w:pPr>
    <w:rPr>
      <w:rFonts w:ascii="Times New Roman" w:eastAsia="Times New Roman" w:hAnsi="Times New Roman" w:cs="Times New Roman"/>
      <w:sz w:val="24"/>
      <w:szCs w:val="24"/>
      <w:lang w:eastAsia="ru-RU"/>
    </w:rPr>
  </w:style>
  <w:style w:type="paragraph" w:customStyle="1" w:styleId="display-grid">
    <w:name w:val="display-grid"/>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hentry">
    <w:name w:val="hentry"/>
    <w:basedOn w:val="a1"/>
    <w:uiPriority w:val="99"/>
    <w:qFormat/>
    <w:pPr>
      <w:spacing w:before="225" w:after="225" w:line="240" w:lineRule="auto"/>
      <w:ind w:left="225" w:right="225"/>
    </w:pPr>
    <w:rPr>
      <w:rFonts w:ascii="Times New Roman" w:eastAsia="Times New Roman" w:hAnsi="Times New Roman" w:cs="Times New Roman"/>
      <w:sz w:val="24"/>
      <w:szCs w:val="24"/>
      <w:lang w:eastAsia="ru-RU"/>
    </w:rPr>
  </w:style>
  <w:style w:type="paragraph" w:customStyle="1" w:styleId="entry-thumb">
    <w:name w:val="entry-thumb"/>
    <w:basedOn w:val="a1"/>
    <w:uiPriority w:val="99"/>
    <w:qFormat/>
    <w:pPr>
      <w:spacing w:after="150" w:line="240" w:lineRule="auto"/>
      <w:ind w:right="225"/>
    </w:pPr>
    <w:rPr>
      <w:rFonts w:ascii="Times New Roman" w:eastAsia="Times New Roman" w:hAnsi="Times New Roman" w:cs="Times New Roman"/>
      <w:sz w:val="24"/>
      <w:szCs w:val="24"/>
      <w:lang w:eastAsia="ru-RU"/>
    </w:rPr>
  </w:style>
  <w:style w:type="paragraph" w:customStyle="1" w:styleId="entry-title">
    <w:name w:val="entry-title"/>
    <w:basedOn w:val="a1"/>
    <w:uiPriority w:val="99"/>
    <w:qFormat/>
    <w:pPr>
      <w:spacing w:after="150" w:line="240" w:lineRule="auto"/>
    </w:pPr>
    <w:rPr>
      <w:rFonts w:ascii="Georgia" w:eastAsia="Times New Roman" w:hAnsi="Georgia" w:cs="Times New Roman"/>
      <w:sz w:val="24"/>
      <w:szCs w:val="24"/>
      <w:lang w:eastAsia="ru-RU"/>
    </w:rPr>
  </w:style>
  <w:style w:type="paragraph" w:customStyle="1" w:styleId="entry-meta">
    <w:name w:val="entry-meta"/>
    <w:basedOn w:val="a1"/>
    <w:uiPriority w:val="99"/>
    <w:qFormat/>
    <w:pPr>
      <w:spacing w:before="150" w:after="90" w:line="240" w:lineRule="auto"/>
    </w:pPr>
    <w:rPr>
      <w:rFonts w:ascii="Times New Roman" w:eastAsia="Times New Roman" w:hAnsi="Times New Roman" w:cs="Times New Roman"/>
      <w:color w:val="666666"/>
      <w:sz w:val="17"/>
      <w:szCs w:val="17"/>
      <w:lang w:eastAsia="ru-RU"/>
    </w:rPr>
  </w:style>
  <w:style w:type="paragraph" w:customStyle="1" w:styleId="meta-sep">
    <w:name w:val="meta-sep"/>
    <w:basedOn w:val="a1"/>
    <w:uiPriority w:val="99"/>
    <w:qFormat/>
    <w:pPr>
      <w:spacing w:after="0" w:line="240" w:lineRule="auto"/>
      <w:ind w:left="45" w:right="45"/>
    </w:pPr>
    <w:rPr>
      <w:rFonts w:ascii="Times New Roman" w:eastAsia="Times New Roman" w:hAnsi="Times New Roman" w:cs="Times New Roman"/>
      <w:color w:val="999999"/>
      <w:sz w:val="24"/>
      <w:szCs w:val="24"/>
      <w:lang w:eastAsia="ru-RU"/>
    </w:rPr>
  </w:style>
  <w:style w:type="paragraph" w:customStyle="1" w:styleId="meta-more">
    <w:name w:val="meta-more"/>
    <w:basedOn w:val="a1"/>
    <w:uiPriority w:val="99"/>
    <w:qFormat/>
    <w:pPr>
      <w:spacing w:beforeAutospacing="1" w:afterAutospacing="1" w:line="240" w:lineRule="auto"/>
    </w:pPr>
    <w:rPr>
      <w:rFonts w:ascii="Georgia" w:eastAsia="Times New Roman" w:hAnsi="Georgia" w:cs="Times New Roman"/>
      <w:i/>
      <w:iCs/>
      <w:color w:val="666666"/>
      <w:sz w:val="17"/>
      <w:szCs w:val="17"/>
      <w:lang w:eastAsia="ru-RU"/>
    </w:rPr>
  </w:style>
  <w:style w:type="paragraph" w:customStyle="1" w:styleId="grid-post">
    <w:name w:val="grid-pos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not-found">
    <w:name w:val="not-found"/>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onecolumn">
    <w:name w:val="onecolumn"/>
    <w:basedOn w:val="a1"/>
    <w:uiPriority w:val="99"/>
    <w:qFormat/>
    <w:pPr>
      <w:shd w:val="clear" w:color="auto" w:fill="FFFFFF"/>
      <w:spacing w:after="0" w:line="240" w:lineRule="auto"/>
    </w:pPr>
    <w:rPr>
      <w:rFonts w:ascii="Times New Roman" w:eastAsia="Times New Roman" w:hAnsi="Times New Roman" w:cs="Times New Roman"/>
      <w:sz w:val="24"/>
      <w:szCs w:val="24"/>
      <w:lang w:eastAsia="ru-RU"/>
    </w:rPr>
  </w:style>
  <w:style w:type="paragraph" w:customStyle="1" w:styleId="aligncenter">
    <w:name w:val="aligncenter"/>
    <w:basedOn w:val="a1"/>
    <w:uiPriority w:val="99"/>
    <w:qFormat/>
    <w:pPr>
      <w:spacing w:beforeAutospacing="1" w:after="150" w:line="240" w:lineRule="auto"/>
    </w:pPr>
    <w:rPr>
      <w:rFonts w:ascii="Times New Roman" w:eastAsia="Times New Roman" w:hAnsi="Times New Roman" w:cs="Times New Roman"/>
      <w:sz w:val="24"/>
      <w:szCs w:val="24"/>
      <w:lang w:eastAsia="ru-RU"/>
    </w:rPr>
  </w:style>
  <w:style w:type="paragraph" w:customStyle="1" w:styleId="alignright">
    <w:name w:val="alignright"/>
    <w:basedOn w:val="a1"/>
    <w:uiPriority w:val="99"/>
    <w:qFormat/>
    <w:pPr>
      <w:spacing w:after="150" w:line="240" w:lineRule="auto"/>
      <w:ind w:left="150"/>
    </w:pPr>
    <w:rPr>
      <w:rFonts w:ascii="Times New Roman" w:eastAsia="Times New Roman" w:hAnsi="Times New Roman" w:cs="Times New Roman"/>
      <w:sz w:val="24"/>
      <w:szCs w:val="24"/>
      <w:lang w:eastAsia="ru-RU"/>
    </w:rPr>
  </w:style>
  <w:style w:type="paragraph" w:customStyle="1" w:styleId="alignleft">
    <w:name w:val="alignleft"/>
    <w:basedOn w:val="a1"/>
    <w:uiPriority w:val="99"/>
    <w:qFormat/>
    <w:pPr>
      <w:spacing w:after="150" w:line="240" w:lineRule="auto"/>
      <w:ind w:right="150"/>
    </w:pPr>
    <w:rPr>
      <w:rFonts w:ascii="Times New Roman" w:eastAsia="Times New Roman" w:hAnsi="Times New Roman" w:cs="Times New Roman"/>
      <w:sz w:val="24"/>
      <w:szCs w:val="24"/>
      <w:lang w:eastAsia="ru-RU"/>
    </w:rPr>
  </w:style>
  <w:style w:type="paragraph" w:customStyle="1" w:styleId="wp-caption">
    <w:name w:val="wp-caption"/>
    <w:basedOn w:val="a1"/>
    <w:uiPriority w:val="99"/>
    <w:qFormat/>
    <w:pPr>
      <w:pBdr>
        <w:top w:val="single" w:sz="6" w:space="3" w:color="E6E6E6"/>
        <w:left w:val="single" w:sz="6" w:space="0" w:color="E6E6E6"/>
        <w:bottom w:val="single" w:sz="6" w:space="4" w:color="E6E6E6"/>
        <w:right w:val="single" w:sz="6" w:space="0" w:color="E6E6E6"/>
      </w:pBdr>
      <w:shd w:val="clear" w:color="auto" w:fill="F7F7F7"/>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pagenavi">
    <w:name w:val="pagenavi"/>
    <w:basedOn w:val="a1"/>
    <w:uiPriority w:val="99"/>
    <w:qFormat/>
    <w:pPr>
      <w:pBdr>
        <w:top w:val="single" w:sz="6" w:space="0" w:color="ECEDE8"/>
        <w:bottom w:val="single" w:sz="6" w:space="0" w:color="ECEDE8"/>
      </w:pBdr>
      <w:shd w:val="clear" w:color="auto" w:fill="F7F7F7"/>
      <w:spacing w:after="0" w:line="240" w:lineRule="auto"/>
    </w:pPr>
    <w:rPr>
      <w:rFonts w:ascii="Times New Roman" w:eastAsia="Times New Roman" w:hAnsi="Times New Roman" w:cs="Times New Roman"/>
      <w:color w:val="777777"/>
      <w:sz w:val="24"/>
      <w:szCs w:val="24"/>
      <w:lang w:eastAsia="ru-RU"/>
    </w:rPr>
  </w:style>
  <w:style w:type="paragraph" w:customStyle="1" w:styleId="widget-area">
    <w:name w:val="widget-area"/>
    <w:basedOn w:val="a1"/>
    <w:uiPriority w:val="99"/>
    <w:qFormat/>
    <w:pPr>
      <w:pBdr>
        <w:bottom w:val="single" w:sz="6" w:space="0" w:color="ECEDE8"/>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widget">
    <w:name w:val="widget"/>
    <w:basedOn w:val="a1"/>
    <w:uiPriority w:val="99"/>
    <w:qFormat/>
    <w:pPr>
      <w:pBdr>
        <w:bottom w:val="single" w:sz="6" w:space="0" w:color="ECEDE8"/>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widget-title">
    <w:name w:val="widget-title"/>
    <w:basedOn w:val="a1"/>
    <w:uiPriority w:val="99"/>
    <w:qFormat/>
    <w:pPr>
      <w:shd w:val="clear" w:color="auto" w:fill="FAFAFA"/>
      <w:spacing w:beforeAutospacing="1" w:afterAutospacing="1" w:line="240" w:lineRule="auto"/>
    </w:pPr>
    <w:rPr>
      <w:rFonts w:ascii="Arial" w:eastAsia="Times New Roman" w:hAnsi="Arial" w:cs="Arial"/>
      <w:caps/>
      <w:color w:val="333333"/>
      <w:sz w:val="20"/>
      <w:szCs w:val="20"/>
      <w:lang w:eastAsia="ru-RU"/>
    </w:rPr>
  </w:style>
  <w:style w:type="paragraph" w:customStyle="1" w:styleId="textwidget">
    <w:name w:val="textwidget"/>
    <w:basedOn w:val="a1"/>
    <w:uiPriority w:val="99"/>
    <w:qFormat/>
    <w:pPr>
      <w:pBdr>
        <w:top w:val="single" w:sz="6" w:space="8" w:color="ECEDE8"/>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ab-widget-menu">
    <w:name w:val="tab-widget-menu"/>
    <w:basedOn w:val="a1"/>
    <w:uiPriority w:val="99"/>
    <w:qFormat/>
    <w:pPr>
      <w:pBdr>
        <w:bottom w:val="single" w:sz="6" w:space="0" w:color="ECEDE8"/>
      </w:pBdr>
      <w:shd w:val="clear" w:color="auto" w:fill="FAFAFA"/>
      <w:spacing w:beforeAutospacing="1" w:afterAutospacing="1" w:line="240" w:lineRule="auto"/>
    </w:pPr>
    <w:rPr>
      <w:rFonts w:ascii="Times New Roman" w:eastAsia="Times New Roman" w:hAnsi="Times New Roman" w:cs="Times New Roman"/>
      <w:sz w:val="17"/>
      <w:szCs w:val="17"/>
      <w:lang w:eastAsia="ru-RU"/>
    </w:rPr>
  </w:style>
  <w:style w:type="paragraph" w:customStyle="1" w:styleId="backtotop">
    <w:name w:val="backtotop"/>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mmentlist">
    <w:name w:val="commentlist"/>
    <w:basedOn w:val="a1"/>
    <w:uiPriority w:val="99"/>
    <w:qFormat/>
    <w:pPr>
      <w:pBdr>
        <w:bottom w:val="single" w:sz="6" w:space="0" w:color="ECEDE8"/>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mment">
    <w:name w:val="comment"/>
    <w:basedOn w:val="a1"/>
    <w:uiPriority w:val="99"/>
    <w:qFormat/>
    <w:pPr>
      <w:pBdr>
        <w:top w:val="single" w:sz="6" w:space="11" w:color="ECEDE8"/>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mment-avatar">
    <w:name w:val="comment-avatar"/>
    <w:basedOn w:val="a1"/>
    <w:uiPriority w:val="99"/>
    <w:qFormat/>
    <w:pPr>
      <w:spacing w:after="0" w:line="240" w:lineRule="auto"/>
      <w:ind w:left="-900"/>
    </w:pPr>
    <w:rPr>
      <w:rFonts w:ascii="Times New Roman" w:eastAsia="Times New Roman" w:hAnsi="Times New Roman" w:cs="Times New Roman"/>
      <w:sz w:val="24"/>
      <w:szCs w:val="24"/>
      <w:lang w:eastAsia="ru-RU"/>
    </w:rPr>
  </w:style>
  <w:style w:type="paragraph" w:customStyle="1" w:styleId="comment-meta">
    <w:name w:val="comment-meta"/>
    <w:basedOn w:val="a1"/>
    <w:uiPriority w:val="99"/>
    <w:qFormat/>
    <w:pPr>
      <w:spacing w:after="150" w:line="240" w:lineRule="auto"/>
      <w:ind w:right="225"/>
    </w:pPr>
    <w:rPr>
      <w:rFonts w:ascii="Times New Roman" w:eastAsia="Times New Roman" w:hAnsi="Times New Roman" w:cs="Times New Roman"/>
      <w:sz w:val="17"/>
      <w:szCs w:val="17"/>
      <w:lang w:eastAsia="ru-RU"/>
    </w:rPr>
  </w:style>
  <w:style w:type="paragraph" w:customStyle="1" w:styleId="comment-body">
    <w:name w:val="comment-body"/>
    <w:basedOn w:val="a1"/>
    <w:uiPriority w:val="99"/>
    <w:qFormat/>
    <w:pPr>
      <w:spacing w:before="150" w:after="150" w:line="240" w:lineRule="auto"/>
      <w:ind w:right="300"/>
    </w:pPr>
    <w:rPr>
      <w:rFonts w:ascii="Times New Roman" w:eastAsia="Times New Roman" w:hAnsi="Times New Roman" w:cs="Times New Roman"/>
      <w:sz w:val="24"/>
      <w:szCs w:val="24"/>
      <w:lang w:eastAsia="ru-RU"/>
    </w:rPr>
  </w:style>
  <w:style w:type="paragraph" w:customStyle="1" w:styleId="reply">
    <w:name w:val="reply"/>
    <w:basedOn w:val="a1"/>
    <w:uiPriority w:val="99"/>
    <w:qFormat/>
    <w:pPr>
      <w:spacing w:before="150" w:after="0" w:line="240" w:lineRule="auto"/>
      <w:ind w:right="300"/>
      <w:jc w:val="right"/>
    </w:pPr>
    <w:rPr>
      <w:rFonts w:ascii="Times New Roman" w:eastAsia="Times New Roman" w:hAnsi="Times New Roman" w:cs="Times New Roman"/>
      <w:caps/>
      <w:sz w:val="15"/>
      <w:szCs w:val="15"/>
      <w:lang w:eastAsia="ru-RU"/>
    </w:rPr>
  </w:style>
  <w:style w:type="paragraph" w:customStyle="1" w:styleId="comment-reply-link">
    <w:name w:val="comment-reply-link"/>
    <w:basedOn w:val="a1"/>
    <w:uiPriority w:val="99"/>
    <w:qFormat/>
    <w:pPr>
      <w:pBdr>
        <w:top w:val="single" w:sz="6" w:space="0" w:color="ECEDE8"/>
        <w:left w:val="single" w:sz="6" w:space="8" w:color="ECEDE8"/>
      </w:pBdr>
      <w:spacing w:beforeAutospacing="1" w:afterAutospacing="1" w:line="360" w:lineRule="atLeast"/>
      <w:jc w:val="center"/>
    </w:pPr>
    <w:rPr>
      <w:rFonts w:ascii="Times New Roman" w:eastAsia="Times New Roman" w:hAnsi="Times New Roman" w:cs="Times New Roman"/>
      <w:sz w:val="24"/>
      <w:szCs w:val="24"/>
      <w:lang w:eastAsia="ru-RU"/>
    </w:rPr>
  </w:style>
  <w:style w:type="paragraph" w:customStyle="1" w:styleId="header-ad">
    <w:name w:val="header-ad"/>
    <w:basedOn w:val="a1"/>
    <w:uiPriority w:val="99"/>
    <w:qFormat/>
    <w:pPr>
      <w:spacing w:before="150" w:after="75" w:line="240" w:lineRule="auto"/>
      <w:ind w:right="225"/>
    </w:pPr>
    <w:rPr>
      <w:rFonts w:ascii="Times New Roman" w:eastAsia="Times New Roman" w:hAnsi="Times New Roman" w:cs="Times New Roman"/>
      <w:sz w:val="24"/>
      <w:szCs w:val="24"/>
      <w:lang w:eastAsia="ru-RU"/>
    </w:rPr>
  </w:style>
  <w:style w:type="paragraph" w:customStyle="1" w:styleId="home-ad-area">
    <w:name w:val="home-ad-area"/>
    <w:basedOn w:val="a1"/>
    <w:uiPriority w:val="99"/>
    <w:qFormat/>
    <w:pPr>
      <w:pBdr>
        <w:top w:val="single" w:sz="6" w:space="11" w:color="ECEDE8"/>
      </w:pBdr>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adtips">
    <w:name w:val="adtips"/>
    <w:basedOn w:val="a1"/>
    <w:uiPriority w:val="99"/>
    <w:qFormat/>
    <w:pPr>
      <w:spacing w:after="90" w:line="240" w:lineRule="auto"/>
      <w:jc w:val="center"/>
    </w:pPr>
    <w:rPr>
      <w:rFonts w:ascii="Times New Roman" w:eastAsia="Times New Roman" w:hAnsi="Times New Roman" w:cs="Times New Roman"/>
      <w:caps/>
      <w:color w:val="CCCCCC"/>
      <w:sz w:val="15"/>
      <w:szCs w:val="15"/>
      <w:lang w:eastAsia="ru-RU"/>
    </w:rPr>
  </w:style>
  <w:style w:type="paragraph" w:customStyle="1" w:styleId="ad120x600">
    <w:name w:val="ad120x600"/>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
    <w:name w:val="uptl_share_more_popup"/>
    <w:basedOn w:val="a1"/>
    <w:uiPriority w:val="99"/>
    <w:qFormat/>
    <w:pPr>
      <w:pBdr>
        <w:top w:val="single" w:sz="6" w:space="4" w:color="E0E0E0"/>
        <w:left w:val="single" w:sz="6" w:space="0" w:color="E0E0E0"/>
        <w:bottom w:val="single" w:sz="6" w:space="0" w:color="E0E0E0"/>
        <w:right w:val="single" w:sz="6" w:space="0" w:color="E0E0E0"/>
      </w:pBdr>
      <w:shd w:val="clear" w:color="auto" w:fill="FFFFFF"/>
      <w:spacing w:beforeAutospacing="1" w:afterAutospacing="1" w:line="240" w:lineRule="auto"/>
    </w:pPr>
    <w:rPr>
      <w:rFonts w:ascii="Times New Roman" w:eastAsia="Times New Roman" w:hAnsi="Times New Roman" w:cs="Times New Roman"/>
      <w:color w:val="595959"/>
      <w:sz w:val="24"/>
      <w:szCs w:val="24"/>
      <w:lang w:eastAsia="ru-RU"/>
    </w:rPr>
  </w:style>
  <w:style w:type="paragraph" w:customStyle="1" w:styleId="uptltoolbar">
    <w:name w:val="uptl_toolbar"/>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utlfollow-popup-panel-wrapper">
    <w:name w:val="__utl_follow-popup-panel-wrapper"/>
    <w:basedOn w:val="a1"/>
    <w:uiPriority w:val="99"/>
    <w:qFormat/>
    <w:pPr>
      <w:pBdr>
        <w:top w:val="single" w:sz="6" w:space="0" w:color="E4E4E4"/>
        <w:left w:val="single" w:sz="6" w:space="0" w:color="E4E4E4"/>
        <w:bottom w:val="single" w:sz="6" w:space="0" w:color="E4E4E4"/>
        <w:right w:val="single" w:sz="6" w:space="0" w:color="E4E4E4"/>
      </w:pBdr>
      <w:shd w:val="clear" w:color="auto" w:fill="FFFFFF"/>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utlopaquemask">
    <w:name w:val="__utl__opaque_mask"/>
    <w:basedOn w:val="a1"/>
    <w:uiPriority w:val="99"/>
    <w:qFormat/>
    <w:pPr>
      <w:shd w:val="clear" w:color="auto" w:fill="000000"/>
      <w:spacing w:beforeAutospacing="1" w:afterAutospacing="1" w:line="240" w:lineRule="auto"/>
    </w:pPr>
    <w:rPr>
      <w:rFonts w:ascii="Times New Roman" w:eastAsia="Times New Roman" w:hAnsi="Times New Roman" w:cs="Times New Roman"/>
      <w:sz w:val="24"/>
      <w:szCs w:val="24"/>
      <w:lang w:eastAsia="ru-RU"/>
    </w:rPr>
  </w:style>
  <w:style w:type="paragraph" w:customStyle="1" w:styleId="desc">
    <w:name w:val="desc"/>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f-sub-indicator">
    <w:name w:val="sf-sub-indicator"/>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row">
    <w:name w:val="catbox-row"/>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
    <w:name w:val="catbox"/>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entry-excerpt">
    <w:name w:val="entry-excerp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lickrbadgeimage">
    <w:name w:val="flickr_badge_image"/>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n">
    <w:name w:val="fn"/>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eparator">
    <w:name w:val="separator"/>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label">
    <w:name w:val="sn-label"/>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panel">
    <w:name w:val="uptl_share_more_popup_panel"/>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note">
    <w:name w:val="uptl_share_more_popup__note"/>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list">
    <w:name w:val="uptl_share_more_popup__lis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tlclose">
    <w:name w:val="__utl_close"/>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tllogo">
    <w:name w:val="__utl_logo"/>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tlfollowusbtn">
    <w:name w:val="__utl__followusbtn"/>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tlfollowusbtnsmall">
    <w:name w:val="__utl__followusbtnsmall"/>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wrap">
    <w:name w:val="wrap"/>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wpgallery">
    <w:name w:val="wpgallery"/>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close">
    <w:name w:val="uptl_share_more_popup_close"/>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
    <w:name w:val="sn-icon"/>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mall-logo-icon">
    <w:name w:val="small-logo-icon"/>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ip">
    <w:name w:val="tip"/>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home">
    <w:name w:val="home"/>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urrent-time">
    <w:name w:val="current-time"/>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eatured-thumb">
    <w:name w:val="featured-thumb"/>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tainer">
    <w:name w:val="container"/>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ostdate">
    <w:name w:val="postdate"/>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item">
    <w:name w:val="item"/>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meta">
    <w:name w:val="meta"/>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ooter-cat">
    <w:name w:val="footer-ca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ottom">
    <w:name w:val="bottom"/>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navigation">
    <w:name w:val="navigation"/>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equired">
    <w:name w:val="required"/>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fa">
    <w:name w:val="Название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vbillet">
    <w:name w:val="b2bctb_v_billet"/>
    <w:basedOn w:val="a1"/>
    <w:uiPriority w:val="99"/>
    <w:qFormat/>
    <w:pPr>
      <w:spacing w:after="0" w:line="150" w:lineRule="atLeast"/>
    </w:pPr>
    <w:rPr>
      <w:rFonts w:ascii="Times New Roman" w:eastAsia="Times New Roman" w:hAnsi="Times New Roman" w:cs="Times New Roman"/>
      <w:sz w:val="15"/>
      <w:szCs w:val="15"/>
      <w:lang w:eastAsia="ru-RU"/>
    </w:rPr>
  </w:style>
  <w:style w:type="paragraph" w:customStyle="1" w:styleId="b2bctbphltbl">
    <w:name w:val="b2bctb_phl_tbl"/>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phltr1">
    <w:name w:val="b2bctb_phl_tr_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phltd1">
    <w:name w:val="b2bctb_phl_td_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phltr2">
    <w:name w:val="b2bctb_phl_tr_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phltd2left">
    <w:name w:val="b2bctb_phl_td_2_lef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phltd2right">
    <w:name w:val="b2bctb_phl_td_2_right"/>
    <w:basedOn w:val="a1"/>
    <w:uiPriority w:val="99"/>
    <w:qFormat/>
    <w:pPr>
      <w:spacing w:beforeAutospacing="1" w:afterAutospacing="1" w:line="240" w:lineRule="auto"/>
      <w:jc w:val="right"/>
    </w:pPr>
    <w:rPr>
      <w:rFonts w:ascii="Times New Roman" w:eastAsia="Times New Roman" w:hAnsi="Times New Roman" w:cs="Times New Roman"/>
      <w:sz w:val="24"/>
      <w:szCs w:val="24"/>
      <w:lang w:eastAsia="ru-RU"/>
    </w:rPr>
  </w:style>
  <w:style w:type="paragraph" w:customStyle="1" w:styleId="b2bctbphltd3">
    <w:name w:val="b2bctb_phl_td_3"/>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phltd23a">
    <w:name w:val="b2bctb_phl_td_2_3_a"/>
    <w:basedOn w:val="a1"/>
    <w:uiPriority w:val="99"/>
    <w:qFormat/>
    <w:pPr>
      <w:spacing w:beforeAutospacing="1" w:afterAutospacing="1" w:line="240" w:lineRule="auto"/>
    </w:pPr>
    <w:rPr>
      <w:rFonts w:ascii="Times New Roman" w:eastAsia="Times New Roman" w:hAnsi="Times New Roman" w:cs="Times New Roman"/>
      <w:sz w:val="24"/>
      <w:szCs w:val="24"/>
      <w:u w:val="single"/>
      <w:lang w:eastAsia="ru-RU"/>
    </w:rPr>
  </w:style>
  <w:style w:type="paragraph" w:customStyle="1" w:styleId="b2bctbphltd4">
    <w:name w:val="b2bctb_phl_td_4"/>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2bctbphlhat">
    <w:name w:val="b2bctb_phl_hat"/>
    <w:basedOn w:val="a1"/>
    <w:uiPriority w:val="99"/>
    <w:qFormat/>
    <w:pPr>
      <w:spacing w:beforeAutospacing="1" w:afterAutospacing="1" w:line="240" w:lineRule="auto"/>
    </w:pPr>
    <w:rPr>
      <w:rFonts w:ascii="Times New Roman" w:eastAsia="Times New Roman" w:hAnsi="Times New Roman" w:cs="Times New Roman"/>
      <w:sz w:val="2"/>
      <w:szCs w:val="2"/>
      <w:lang w:eastAsia="ru-RU"/>
    </w:rPr>
  </w:style>
  <w:style w:type="paragraph" w:customStyle="1" w:styleId="tableblockcontent71354303">
    <w:name w:val="table_block_content_71354303"/>
    <w:basedOn w:val="a1"/>
    <w:uiPriority w:val="99"/>
    <w:qFormat/>
    <w:pPr>
      <w:shd w:val="clear" w:color="auto" w:fill="E3E9F8"/>
      <w:spacing w:beforeAutospacing="1" w:afterAutospacing="1" w:line="240" w:lineRule="auto"/>
    </w:pPr>
    <w:rPr>
      <w:rFonts w:ascii="Times New Roman" w:eastAsia="Times New Roman" w:hAnsi="Times New Roman" w:cs="Times New Roman"/>
      <w:sz w:val="24"/>
      <w:szCs w:val="24"/>
      <w:lang w:eastAsia="ru-RU"/>
    </w:rPr>
  </w:style>
  <w:style w:type="paragraph" w:customStyle="1" w:styleId="tdblockcontent71354303">
    <w:name w:val="td_block_content_71354303"/>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header71354303">
    <w:name w:val="header_71354303"/>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ext71354303">
    <w:name w:val="text_71354303"/>
    <w:basedOn w:val="a1"/>
    <w:uiPriority w:val="99"/>
    <w:qFormat/>
    <w:pPr>
      <w:spacing w:beforeAutospacing="1" w:afterAutospacing="1" w:line="240" w:lineRule="auto"/>
    </w:pPr>
    <w:rPr>
      <w:rFonts w:ascii="Arial" w:eastAsia="Times New Roman" w:hAnsi="Arial" w:cs="Arial"/>
      <w:color w:val="000000"/>
      <w:sz w:val="18"/>
      <w:szCs w:val="18"/>
      <w:lang w:eastAsia="ru-RU"/>
    </w:rPr>
  </w:style>
  <w:style w:type="paragraph" w:customStyle="1" w:styleId="url71354303">
    <w:name w:val="url_71354303"/>
    <w:basedOn w:val="a1"/>
    <w:uiPriority w:val="99"/>
    <w:qFormat/>
    <w:pPr>
      <w:spacing w:beforeAutospacing="1" w:afterAutospacing="1" w:line="240" w:lineRule="auto"/>
    </w:pPr>
    <w:rPr>
      <w:rFonts w:ascii="Arial" w:eastAsia="Times New Roman" w:hAnsi="Arial" w:cs="Arial"/>
      <w:b/>
      <w:bCs/>
      <w:color w:val="999999"/>
      <w:sz w:val="17"/>
      <w:szCs w:val="17"/>
      <w:lang w:eastAsia="ru-RU"/>
    </w:rPr>
  </w:style>
  <w:style w:type="paragraph" w:customStyle="1" w:styleId="tdlinkscontent71354303">
    <w:name w:val="td_links_content_71354303"/>
    <w:basedOn w:val="a1"/>
    <w:uiPriority w:val="99"/>
    <w:qFormat/>
    <w:pPr>
      <w:spacing w:beforeAutospacing="1" w:afterAutospacing="1" w:line="240" w:lineRule="auto"/>
      <w:jc w:val="right"/>
    </w:pPr>
    <w:rPr>
      <w:rFonts w:ascii="Times New Roman" w:eastAsia="Times New Roman" w:hAnsi="Times New Roman" w:cs="Times New Roman"/>
      <w:sz w:val="24"/>
      <w:szCs w:val="24"/>
      <w:lang w:eastAsia="ru-RU"/>
    </w:rPr>
  </w:style>
  <w:style w:type="paragraph" w:customStyle="1" w:styleId="phlstl171354303">
    <w:name w:val="phl_stl_1_71354303"/>
    <w:basedOn w:val="a1"/>
    <w:uiPriority w:val="99"/>
    <w:qFormat/>
    <w:pPr>
      <w:shd w:val="clear" w:color="auto" w:fill="FFFFFF"/>
      <w:spacing w:beforeAutospacing="1" w:afterAutospacing="1" w:line="240" w:lineRule="auto"/>
    </w:pPr>
    <w:rPr>
      <w:rFonts w:ascii="Times New Roman" w:eastAsia="Times New Roman" w:hAnsi="Times New Roman" w:cs="Times New Roman"/>
      <w:sz w:val="24"/>
      <w:szCs w:val="24"/>
      <w:lang w:eastAsia="ru-RU"/>
    </w:rPr>
  </w:style>
  <w:style w:type="paragraph" w:customStyle="1" w:styleId="phlstl271354303">
    <w:name w:val="phl_stl_2_71354303"/>
    <w:basedOn w:val="a1"/>
    <w:uiPriority w:val="99"/>
    <w:qFormat/>
    <w:pPr>
      <w:shd w:val="clear" w:color="auto" w:fill="FFFFFF"/>
      <w:spacing w:beforeAutospacing="1" w:afterAutospacing="1" w:line="240" w:lineRule="auto"/>
    </w:pPr>
    <w:rPr>
      <w:rFonts w:ascii="Arial" w:eastAsia="Times New Roman" w:hAnsi="Arial" w:cs="Arial"/>
      <w:b/>
      <w:bCs/>
      <w:color w:val="000000"/>
      <w:sz w:val="18"/>
      <w:szCs w:val="18"/>
      <w:lang w:eastAsia="ru-RU"/>
    </w:rPr>
  </w:style>
  <w:style w:type="paragraph" w:customStyle="1" w:styleId="phlstl371354303">
    <w:name w:val="phl_stl_3_71354303"/>
    <w:basedOn w:val="a1"/>
    <w:uiPriority w:val="99"/>
    <w:qFormat/>
    <w:pPr>
      <w:spacing w:beforeAutospacing="1" w:afterAutospacing="1" w:line="240" w:lineRule="auto"/>
    </w:pPr>
    <w:rPr>
      <w:rFonts w:ascii="Arial" w:eastAsia="Times New Roman" w:hAnsi="Arial" w:cs="Arial"/>
      <w:b/>
      <w:bCs/>
      <w:color w:val="000000"/>
      <w:sz w:val="18"/>
      <w:szCs w:val="18"/>
      <w:lang w:eastAsia="ru-RU"/>
    </w:rPr>
  </w:style>
  <w:style w:type="paragraph" w:customStyle="1" w:styleId="phlstl471354303">
    <w:name w:val="phl_stl_4_71354303"/>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ableblockcontent52801835">
    <w:name w:val="table_block_content_52801835"/>
    <w:basedOn w:val="a1"/>
    <w:uiPriority w:val="99"/>
    <w:qFormat/>
    <w:pPr>
      <w:shd w:val="clear" w:color="auto" w:fill="E3E9F8"/>
      <w:spacing w:beforeAutospacing="1" w:afterAutospacing="1" w:line="240" w:lineRule="auto"/>
    </w:pPr>
    <w:rPr>
      <w:rFonts w:ascii="Times New Roman" w:eastAsia="Times New Roman" w:hAnsi="Times New Roman" w:cs="Times New Roman"/>
      <w:sz w:val="24"/>
      <w:szCs w:val="24"/>
      <w:lang w:eastAsia="ru-RU"/>
    </w:rPr>
  </w:style>
  <w:style w:type="paragraph" w:customStyle="1" w:styleId="tdblockcontent52801835">
    <w:name w:val="td_block_content_52801835"/>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header52801835">
    <w:name w:val="header_52801835"/>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ext52801835">
    <w:name w:val="text_52801835"/>
    <w:basedOn w:val="a1"/>
    <w:uiPriority w:val="99"/>
    <w:qFormat/>
    <w:pPr>
      <w:spacing w:beforeAutospacing="1" w:afterAutospacing="1" w:line="240" w:lineRule="auto"/>
    </w:pPr>
    <w:rPr>
      <w:rFonts w:ascii="Arial" w:eastAsia="Times New Roman" w:hAnsi="Arial" w:cs="Arial"/>
      <w:color w:val="000000"/>
      <w:sz w:val="18"/>
      <w:szCs w:val="18"/>
      <w:lang w:eastAsia="ru-RU"/>
    </w:rPr>
  </w:style>
  <w:style w:type="paragraph" w:customStyle="1" w:styleId="url52801835">
    <w:name w:val="url_52801835"/>
    <w:basedOn w:val="a1"/>
    <w:uiPriority w:val="99"/>
    <w:qFormat/>
    <w:pPr>
      <w:spacing w:beforeAutospacing="1" w:afterAutospacing="1" w:line="240" w:lineRule="auto"/>
    </w:pPr>
    <w:rPr>
      <w:rFonts w:ascii="Arial" w:eastAsia="Times New Roman" w:hAnsi="Arial" w:cs="Arial"/>
      <w:b/>
      <w:bCs/>
      <w:color w:val="999999"/>
      <w:sz w:val="17"/>
      <w:szCs w:val="17"/>
      <w:lang w:eastAsia="ru-RU"/>
    </w:rPr>
  </w:style>
  <w:style w:type="paragraph" w:customStyle="1" w:styleId="tdlinkscontent52801835">
    <w:name w:val="td_links_content_52801835"/>
    <w:basedOn w:val="a1"/>
    <w:uiPriority w:val="99"/>
    <w:qFormat/>
    <w:pPr>
      <w:spacing w:beforeAutospacing="1" w:afterAutospacing="1" w:line="240" w:lineRule="auto"/>
      <w:jc w:val="right"/>
    </w:pPr>
    <w:rPr>
      <w:rFonts w:ascii="Times New Roman" w:eastAsia="Times New Roman" w:hAnsi="Times New Roman" w:cs="Times New Roman"/>
      <w:sz w:val="24"/>
      <w:szCs w:val="24"/>
      <w:lang w:eastAsia="ru-RU"/>
    </w:rPr>
  </w:style>
  <w:style w:type="paragraph" w:customStyle="1" w:styleId="phlstl152801835">
    <w:name w:val="phl_stl_1_52801835"/>
    <w:basedOn w:val="a1"/>
    <w:uiPriority w:val="99"/>
    <w:qFormat/>
    <w:pPr>
      <w:shd w:val="clear" w:color="auto" w:fill="FFFFFF"/>
      <w:spacing w:beforeAutospacing="1" w:afterAutospacing="1" w:line="240" w:lineRule="auto"/>
    </w:pPr>
    <w:rPr>
      <w:rFonts w:ascii="Times New Roman" w:eastAsia="Times New Roman" w:hAnsi="Times New Roman" w:cs="Times New Roman"/>
      <w:sz w:val="24"/>
      <w:szCs w:val="24"/>
      <w:lang w:eastAsia="ru-RU"/>
    </w:rPr>
  </w:style>
  <w:style w:type="paragraph" w:customStyle="1" w:styleId="phlstl252801835">
    <w:name w:val="phl_stl_2_52801835"/>
    <w:basedOn w:val="a1"/>
    <w:uiPriority w:val="99"/>
    <w:qFormat/>
    <w:pPr>
      <w:shd w:val="clear" w:color="auto" w:fill="FFFFFF"/>
      <w:spacing w:beforeAutospacing="1" w:afterAutospacing="1" w:line="240" w:lineRule="auto"/>
    </w:pPr>
    <w:rPr>
      <w:rFonts w:ascii="Arial" w:eastAsia="Times New Roman" w:hAnsi="Arial" w:cs="Arial"/>
      <w:b/>
      <w:bCs/>
      <w:color w:val="000000"/>
      <w:sz w:val="18"/>
      <w:szCs w:val="18"/>
      <w:lang w:eastAsia="ru-RU"/>
    </w:rPr>
  </w:style>
  <w:style w:type="paragraph" w:customStyle="1" w:styleId="phlstl352801835">
    <w:name w:val="phl_stl_3_52801835"/>
    <w:basedOn w:val="a1"/>
    <w:uiPriority w:val="99"/>
    <w:qFormat/>
    <w:pPr>
      <w:spacing w:beforeAutospacing="1" w:afterAutospacing="1" w:line="240" w:lineRule="auto"/>
    </w:pPr>
    <w:rPr>
      <w:rFonts w:ascii="Arial" w:eastAsia="Times New Roman" w:hAnsi="Arial" w:cs="Arial"/>
      <w:b/>
      <w:bCs/>
      <w:color w:val="000000"/>
      <w:sz w:val="18"/>
      <w:szCs w:val="18"/>
      <w:lang w:eastAsia="ru-RU"/>
    </w:rPr>
  </w:style>
  <w:style w:type="paragraph" w:customStyle="1" w:styleId="phlstl452801835">
    <w:name w:val="phl_stl_4_52801835"/>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16">
    <w:name w:val="sn-icon-16"/>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mall-logo">
    <w:name w:val="small-logo"/>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old">
    <w:name w:val="__bold"/>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desc1">
    <w:name w:val="desc1"/>
    <w:basedOn w:val="a1"/>
    <w:uiPriority w:val="99"/>
    <w:qFormat/>
    <w:pPr>
      <w:spacing w:before="75" w:afterAutospacing="1" w:line="255" w:lineRule="atLeast"/>
    </w:pPr>
    <w:rPr>
      <w:rFonts w:ascii="Arial" w:eastAsia="Times New Roman" w:hAnsi="Arial" w:cs="Arial"/>
      <w:color w:val="AAAAAA"/>
      <w:sz w:val="17"/>
      <w:szCs w:val="17"/>
      <w:lang w:eastAsia="ru-RU"/>
    </w:rPr>
  </w:style>
  <w:style w:type="paragraph" w:customStyle="1" w:styleId="desc2">
    <w:name w:val="desc2"/>
    <w:basedOn w:val="a1"/>
    <w:uiPriority w:val="99"/>
    <w:qFormat/>
    <w:pPr>
      <w:spacing w:before="75" w:afterAutospacing="1" w:line="255" w:lineRule="atLeast"/>
    </w:pPr>
    <w:rPr>
      <w:rFonts w:ascii="Arial" w:eastAsia="Times New Roman" w:hAnsi="Arial" w:cs="Arial"/>
      <w:color w:val="AAAAAA"/>
      <w:sz w:val="17"/>
      <w:szCs w:val="17"/>
      <w:lang w:eastAsia="ru-RU"/>
    </w:rPr>
  </w:style>
  <w:style w:type="paragraph" w:customStyle="1" w:styleId="sf-sub-indicator1">
    <w:name w:val="sf-sub-indicator1"/>
    <w:basedOn w:val="a1"/>
    <w:uiPriority w:val="99"/>
    <w:qFormat/>
    <w:pPr>
      <w:spacing w:beforeAutospacing="1" w:afterAutospacing="1" w:line="240" w:lineRule="auto"/>
    </w:pPr>
    <w:rPr>
      <w:rFonts w:ascii="Times New Roman" w:eastAsia="Times New Roman" w:hAnsi="Times New Roman" w:cs="Times New Roman"/>
      <w:vanish/>
      <w:sz w:val="24"/>
      <w:szCs w:val="24"/>
      <w:lang w:eastAsia="ru-RU"/>
    </w:rPr>
  </w:style>
  <w:style w:type="paragraph" w:customStyle="1" w:styleId="sf-sub-indicator2">
    <w:name w:val="sf-sub-indicator2"/>
    <w:basedOn w:val="a1"/>
    <w:uiPriority w:val="99"/>
    <w:qFormat/>
    <w:pPr>
      <w:spacing w:beforeAutospacing="1" w:afterAutospacing="1" w:line="240" w:lineRule="auto"/>
      <w:ind w:firstLine="22384"/>
    </w:pPr>
    <w:rPr>
      <w:rFonts w:ascii="Times New Roman" w:eastAsia="Times New Roman" w:hAnsi="Times New Roman" w:cs="Times New Roman"/>
      <w:sz w:val="24"/>
      <w:szCs w:val="24"/>
      <w:lang w:eastAsia="ru-RU"/>
    </w:rPr>
  </w:style>
  <w:style w:type="paragraph" w:customStyle="1" w:styleId="sf-sub-indicator3">
    <w:name w:val="sf-sub-indicator3"/>
    <w:basedOn w:val="a1"/>
    <w:uiPriority w:val="99"/>
    <w:qFormat/>
    <w:pPr>
      <w:spacing w:beforeAutospacing="1" w:afterAutospacing="1" w:line="240" w:lineRule="auto"/>
    </w:pPr>
    <w:rPr>
      <w:rFonts w:ascii="Times New Roman" w:eastAsia="Times New Roman" w:hAnsi="Times New Roman" w:cs="Times New Roman"/>
      <w:vanish/>
      <w:sz w:val="24"/>
      <w:szCs w:val="24"/>
      <w:lang w:eastAsia="ru-RU"/>
    </w:rPr>
  </w:style>
  <w:style w:type="paragraph" w:customStyle="1" w:styleId="sf-sub-indicator4">
    <w:name w:val="sf-sub-indicator4"/>
    <w:basedOn w:val="a1"/>
    <w:uiPriority w:val="99"/>
    <w:qFormat/>
    <w:pPr>
      <w:spacing w:beforeAutospacing="1" w:afterAutospacing="1" w:line="240" w:lineRule="auto"/>
      <w:ind w:firstLine="22384"/>
    </w:pPr>
    <w:rPr>
      <w:rFonts w:ascii="Times New Roman" w:eastAsia="Times New Roman" w:hAnsi="Times New Roman" w:cs="Times New Roman"/>
      <w:sz w:val="24"/>
      <w:szCs w:val="24"/>
      <w:lang w:eastAsia="ru-RU"/>
    </w:rPr>
  </w:style>
  <w:style w:type="paragraph" w:customStyle="1" w:styleId="tip1">
    <w:name w:val="tip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home1">
    <w:name w:val="home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urrent-time1">
    <w:name w:val="current-time1"/>
    <w:basedOn w:val="a1"/>
    <w:uiPriority w:val="99"/>
    <w:qFormat/>
    <w:pPr>
      <w:spacing w:beforeAutospacing="1" w:afterAutospacing="1" w:line="450" w:lineRule="atLeast"/>
    </w:pPr>
    <w:rPr>
      <w:rFonts w:ascii="Times New Roman" w:eastAsia="Times New Roman" w:hAnsi="Times New Roman" w:cs="Times New Roman"/>
      <w:color w:val="888888"/>
      <w:sz w:val="24"/>
      <w:szCs w:val="24"/>
      <w:lang w:eastAsia="ru-RU"/>
    </w:rPr>
  </w:style>
  <w:style w:type="paragraph" w:customStyle="1" w:styleId="featured-thumb1">
    <w:name w:val="featured-thumb1"/>
    <w:basedOn w:val="a1"/>
    <w:uiPriority w:val="99"/>
    <w:qFormat/>
    <w:pPr>
      <w:spacing w:after="150" w:line="240" w:lineRule="auto"/>
    </w:pPr>
    <w:rPr>
      <w:rFonts w:ascii="Times New Roman" w:eastAsia="Times New Roman" w:hAnsi="Times New Roman" w:cs="Times New Roman"/>
      <w:sz w:val="24"/>
      <w:szCs w:val="24"/>
      <w:lang w:eastAsia="ru-RU"/>
    </w:rPr>
  </w:style>
  <w:style w:type="paragraph" w:customStyle="1" w:styleId="container1">
    <w:name w:val="container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ostdate1">
    <w:name w:val="postdate1"/>
    <w:basedOn w:val="a1"/>
    <w:uiPriority w:val="99"/>
    <w:qFormat/>
    <w:pPr>
      <w:spacing w:beforeAutospacing="1" w:afterAutospacing="1" w:line="240" w:lineRule="auto"/>
      <w:ind w:left="-510"/>
    </w:pPr>
    <w:rPr>
      <w:rFonts w:ascii="Arial" w:eastAsia="Times New Roman" w:hAnsi="Arial" w:cs="Arial"/>
      <w:color w:val="666666"/>
      <w:sz w:val="17"/>
      <w:szCs w:val="17"/>
      <w:lang w:eastAsia="ru-RU"/>
    </w:rPr>
  </w:style>
  <w:style w:type="paragraph" w:customStyle="1" w:styleId="item1">
    <w:name w:val="item1"/>
    <w:basedOn w:val="a1"/>
    <w:uiPriority w:val="99"/>
    <w:qFormat/>
    <w:pPr>
      <w:pBdr>
        <w:top w:val="single" w:sz="6" w:space="0" w:color="ECEDE8"/>
        <w:left w:val="single" w:sz="6" w:space="0" w:color="ECEDE8"/>
        <w:bottom w:val="single" w:sz="6" w:space="0" w:color="ECEDE8"/>
        <w:right w:val="single" w:sz="6" w:space="0" w:color="ECEDE8"/>
      </w:pBdr>
      <w:shd w:val="clear" w:color="auto" w:fill="FFFFFF"/>
      <w:spacing w:after="0" w:line="240" w:lineRule="auto"/>
      <w:ind w:left="120" w:right="120"/>
    </w:pPr>
    <w:rPr>
      <w:rFonts w:ascii="Times New Roman" w:eastAsia="Times New Roman" w:hAnsi="Times New Roman" w:cs="Times New Roman"/>
      <w:sz w:val="24"/>
      <w:szCs w:val="24"/>
      <w:lang w:eastAsia="ru-RU"/>
    </w:rPr>
  </w:style>
  <w:style w:type="paragraph" w:customStyle="1" w:styleId="title1">
    <w:name w:val="title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itle2">
    <w:name w:val="title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row1">
    <w:name w:val="catbox-row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1">
    <w:name w:val="catbox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title1">
    <w:name w:val="catbox-title1"/>
    <w:basedOn w:val="a1"/>
    <w:uiPriority w:val="99"/>
    <w:qFormat/>
    <w:pPr>
      <w:pBdr>
        <w:top w:val="single" w:sz="6" w:space="6" w:color="ECEDE8"/>
        <w:bottom w:val="single" w:sz="6" w:space="5" w:color="ECEDE8"/>
        <w:right w:val="single" w:sz="6" w:space="0" w:color="ECEDE8"/>
      </w:pBdr>
      <w:shd w:val="clear" w:color="auto" w:fill="FAFAFA"/>
      <w:spacing w:beforeAutospacing="1" w:afterAutospacing="1" w:line="240" w:lineRule="auto"/>
    </w:pPr>
    <w:rPr>
      <w:rFonts w:ascii="Arial" w:eastAsia="Times New Roman" w:hAnsi="Arial" w:cs="Arial"/>
      <w:caps/>
      <w:sz w:val="20"/>
      <w:szCs w:val="20"/>
      <w:lang w:eastAsia="ru-RU"/>
    </w:rPr>
  </w:style>
  <w:style w:type="paragraph" w:customStyle="1" w:styleId="entry-thumb1">
    <w:name w:val="entry-thumb1"/>
    <w:basedOn w:val="a1"/>
    <w:uiPriority w:val="99"/>
    <w:qFormat/>
    <w:pPr>
      <w:spacing w:after="150" w:line="240" w:lineRule="auto"/>
      <w:ind w:right="150"/>
    </w:pPr>
    <w:rPr>
      <w:rFonts w:ascii="Times New Roman" w:eastAsia="Times New Roman" w:hAnsi="Times New Roman" w:cs="Times New Roman"/>
      <w:sz w:val="24"/>
      <w:szCs w:val="24"/>
      <w:lang w:eastAsia="ru-RU"/>
    </w:rPr>
  </w:style>
  <w:style w:type="paragraph" w:customStyle="1" w:styleId="entry-title1">
    <w:name w:val="entry-title1"/>
    <w:basedOn w:val="a1"/>
    <w:uiPriority w:val="99"/>
    <w:qFormat/>
    <w:pPr>
      <w:spacing w:after="150" w:line="240" w:lineRule="auto"/>
    </w:pPr>
    <w:rPr>
      <w:rFonts w:ascii="Georgia" w:eastAsia="Times New Roman" w:hAnsi="Georgia" w:cs="Times New Roman"/>
      <w:sz w:val="21"/>
      <w:szCs w:val="21"/>
      <w:lang w:eastAsia="ru-RU"/>
    </w:rPr>
  </w:style>
  <w:style w:type="paragraph" w:customStyle="1" w:styleId="entry-excerpt1">
    <w:name w:val="entry-excerpt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entry-thumb2">
    <w:name w:val="entry-thumb2"/>
    <w:basedOn w:val="a1"/>
    <w:uiPriority w:val="99"/>
    <w:qFormat/>
    <w:pPr>
      <w:spacing w:after="150" w:line="240" w:lineRule="auto"/>
      <w:ind w:right="150"/>
    </w:pPr>
    <w:rPr>
      <w:rFonts w:ascii="Times New Roman" w:eastAsia="Times New Roman" w:hAnsi="Times New Roman" w:cs="Times New Roman"/>
      <w:sz w:val="24"/>
      <w:szCs w:val="24"/>
      <w:lang w:eastAsia="ru-RU"/>
    </w:rPr>
  </w:style>
  <w:style w:type="paragraph" w:customStyle="1" w:styleId="entry-excerpt2">
    <w:name w:val="entry-excerpt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entry-meta1">
    <w:name w:val="entry-meta1"/>
    <w:basedOn w:val="a1"/>
    <w:uiPriority w:val="99"/>
    <w:qFormat/>
    <w:pPr>
      <w:spacing w:before="150" w:after="90" w:line="240" w:lineRule="auto"/>
    </w:pPr>
    <w:rPr>
      <w:rFonts w:ascii="Times New Roman" w:eastAsia="Times New Roman" w:hAnsi="Times New Roman" w:cs="Times New Roman"/>
      <w:vanish/>
      <w:color w:val="666666"/>
      <w:sz w:val="17"/>
      <w:szCs w:val="17"/>
      <w:lang w:eastAsia="ru-RU"/>
    </w:rPr>
  </w:style>
  <w:style w:type="paragraph" w:customStyle="1" w:styleId="hentry1">
    <w:name w:val="hentry1"/>
    <w:basedOn w:val="a1"/>
    <w:uiPriority w:val="99"/>
    <w:qFormat/>
    <w:pPr>
      <w:spacing w:before="225" w:after="225" w:line="240" w:lineRule="auto"/>
      <w:ind w:left="225" w:right="225"/>
    </w:pPr>
    <w:rPr>
      <w:rFonts w:ascii="Times New Roman" w:eastAsia="Times New Roman" w:hAnsi="Times New Roman" w:cs="Times New Roman"/>
      <w:sz w:val="24"/>
      <w:szCs w:val="24"/>
      <w:lang w:eastAsia="ru-RU"/>
    </w:rPr>
  </w:style>
  <w:style w:type="paragraph" w:customStyle="1" w:styleId="hentry2">
    <w:name w:val="hentry2"/>
    <w:basedOn w:val="a1"/>
    <w:uiPriority w:val="99"/>
    <w:qFormat/>
    <w:pPr>
      <w:spacing w:before="225" w:after="225" w:line="240" w:lineRule="auto"/>
      <w:ind w:left="225" w:right="225"/>
    </w:pPr>
    <w:rPr>
      <w:rFonts w:ascii="Times New Roman" w:eastAsia="Times New Roman" w:hAnsi="Times New Roman" w:cs="Times New Roman"/>
      <w:sz w:val="24"/>
      <w:szCs w:val="24"/>
      <w:lang w:eastAsia="ru-RU"/>
    </w:rPr>
  </w:style>
  <w:style w:type="paragraph" w:customStyle="1" w:styleId="wp-caption-text1">
    <w:name w:val="wp-caption-text1"/>
    <w:basedOn w:val="a1"/>
    <w:uiPriority w:val="99"/>
    <w:qFormat/>
    <w:pPr>
      <w:spacing w:after="0" w:line="180" w:lineRule="atLeast"/>
    </w:pPr>
    <w:rPr>
      <w:rFonts w:ascii="Times New Roman" w:eastAsia="Times New Roman" w:hAnsi="Times New Roman" w:cs="Times New Roman"/>
      <w:sz w:val="17"/>
      <w:szCs w:val="17"/>
      <w:lang w:eastAsia="ru-RU"/>
    </w:rPr>
  </w:style>
  <w:style w:type="paragraph" w:customStyle="1" w:styleId="widget1">
    <w:name w:val="widget1"/>
    <w:basedOn w:val="a1"/>
    <w:uiPriority w:val="99"/>
    <w:qFormat/>
    <w:pPr>
      <w:pBdr>
        <w:bottom w:val="single" w:sz="6" w:space="0" w:color="ECEDE8"/>
      </w:pBdr>
      <w:shd w:val="clear" w:color="auto" w:fill="FFFFFF"/>
      <w:spacing w:beforeAutospacing="1" w:afterAutospacing="1" w:line="240" w:lineRule="auto"/>
    </w:pPr>
    <w:rPr>
      <w:rFonts w:ascii="Times New Roman" w:eastAsia="Times New Roman" w:hAnsi="Times New Roman" w:cs="Times New Roman"/>
      <w:sz w:val="24"/>
      <w:szCs w:val="24"/>
      <w:lang w:eastAsia="ru-RU"/>
    </w:rPr>
  </w:style>
  <w:style w:type="paragraph" w:customStyle="1" w:styleId="textwidget1">
    <w:name w:val="textwidget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meta1">
    <w:name w:val="meta1"/>
    <w:basedOn w:val="a1"/>
    <w:uiPriority w:val="99"/>
    <w:qFormat/>
    <w:pPr>
      <w:spacing w:beforeAutospacing="1" w:afterAutospacing="1" w:line="240" w:lineRule="auto"/>
    </w:pPr>
    <w:rPr>
      <w:rFonts w:ascii="Arial" w:eastAsia="Times New Roman" w:hAnsi="Arial" w:cs="Arial"/>
      <w:caps/>
      <w:color w:val="999999"/>
      <w:sz w:val="17"/>
      <w:szCs w:val="17"/>
      <w:lang w:eastAsia="ru-RU"/>
    </w:rPr>
  </w:style>
  <w:style w:type="paragraph" w:customStyle="1" w:styleId="flickrbadgeimage1">
    <w:name w:val="flickr_badge_image1"/>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wrap1">
    <w:name w:val="wrap1"/>
    <w:basedOn w:val="a1"/>
    <w:uiPriority w:val="99"/>
    <w:qFormat/>
    <w:pPr>
      <w:spacing w:beforeAutospacing="1" w:after="300" w:line="240" w:lineRule="auto"/>
    </w:pPr>
    <w:rPr>
      <w:rFonts w:ascii="Times New Roman" w:eastAsia="Times New Roman" w:hAnsi="Times New Roman" w:cs="Times New Roman"/>
      <w:sz w:val="24"/>
      <w:szCs w:val="24"/>
      <w:lang w:eastAsia="ru-RU"/>
    </w:rPr>
  </w:style>
  <w:style w:type="paragraph" w:customStyle="1" w:styleId="footer-cat1">
    <w:name w:val="footer-cat1"/>
    <w:basedOn w:val="a1"/>
    <w:uiPriority w:val="99"/>
    <w:qFormat/>
    <w:pPr>
      <w:pBdr>
        <w:bottom w:val="single" w:sz="6" w:space="0" w:color="DDDDDD"/>
      </w:pBdr>
      <w:shd w:val="clear" w:color="auto" w:fill="F9F9F9"/>
      <w:spacing w:beforeAutospacing="1" w:afterAutospacing="1" w:line="240" w:lineRule="auto"/>
    </w:pPr>
    <w:rPr>
      <w:rFonts w:ascii="Times New Roman" w:eastAsia="Times New Roman" w:hAnsi="Times New Roman" w:cs="Times New Roman"/>
      <w:sz w:val="24"/>
      <w:szCs w:val="24"/>
      <w:lang w:eastAsia="ru-RU"/>
    </w:rPr>
  </w:style>
  <w:style w:type="paragraph" w:customStyle="1" w:styleId="bottom1">
    <w:name w:val="bottom1"/>
    <w:basedOn w:val="a1"/>
    <w:uiPriority w:val="99"/>
    <w:qFormat/>
    <w:pPr>
      <w:shd w:val="clear" w:color="auto" w:fill="FFFFFF"/>
      <w:spacing w:beforeAutospacing="1" w:afterAutospacing="1" w:line="240" w:lineRule="auto"/>
      <w:jc w:val="center"/>
    </w:pPr>
    <w:rPr>
      <w:rFonts w:ascii="Times New Roman" w:eastAsia="Times New Roman" w:hAnsi="Times New Roman" w:cs="Times New Roman"/>
      <w:color w:val="555555"/>
      <w:sz w:val="17"/>
      <w:szCs w:val="17"/>
      <w:lang w:eastAsia="ru-RU"/>
    </w:rPr>
  </w:style>
  <w:style w:type="paragraph" w:customStyle="1" w:styleId="navigation1">
    <w:name w:val="navigation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n1">
    <w:name w:val="fn1"/>
    <w:basedOn w:val="a1"/>
    <w:uiPriority w:val="99"/>
    <w:qFormat/>
    <w:pPr>
      <w:spacing w:beforeAutospacing="1" w:afterAutospacing="1" w:line="240" w:lineRule="auto"/>
    </w:pPr>
    <w:rPr>
      <w:rFonts w:ascii="Times New Roman" w:eastAsia="Times New Roman" w:hAnsi="Times New Roman" w:cs="Times New Roman"/>
      <w:sz w:val="18"/>
      <w:szCs w:val="18"/>
      <w:lang w:eastAsia="ru-RU"/>
    </w:rPr>
  </w:style>
  <w:style w:type="paragraph" w:customStyle="1" w:styleId="required1">
    <w:name w:val="required1"/>
    <w:basedOn w:val="a1"/>
    <w:uiPriority w:val="99"/>
    <w:qFormat/>
    <w:pPr>
      <w:spacing w:after="0" w:line="240" w:lineRule="auto"/>
      <w:ind w:left="150"/>
    </w:pPr>
    <w:rPr>
      <w:rFonts w:ascii="Times New Roman" w:eastAsia="Times New Roman" w:hAnsi="Times New Roman" w:cs="Times New Roman"/>
      <w:color w:val="B8240D"/>
      <w:sz w:val="24"/>
      <w:szCs w:val="24"/>
      <w:lang w:eastAsia="ru-RU"/>
    </w:rPr>
  </w:style>
  <w:style w:type="paragraph" w:customStyle="1" w:styleId="tab-widget-menu1">
    <w:name w:val="tab-widget-menu1"/>
    <w:basedOn w:val="a1"/>
    <w:uiPriority w:val="99"/>
    <w:qFormat/>
    <w:pPr>
      <w:pBdr>
        <w:bottom w:val="single" w:sz="6" w:space="0" w:color="ECEDE8"/>
      </w:pBdr>
      <w:shd w:val="clear" w:color="auto" w:fill="FAFAFA"/>
      <w:spacing w:beforeAutospacing="1" w:afterAutospacing="1" w:line="240" w:lineRule="auto"/>
    </w:pPr>
    <w:rPr>
      <w:rFonts w:ascii="Times New Roman" w:eastAsia="Times New Roman" w:hAnsi="Times New Roman" w:cs="Times New Roman"/>
      <w:sz w:val="17"/>
      <w:szCs w:val="17"/>
      <w:lang w:eastAsia="ru-RU"/>
    </w:rPr>
  </w:style>
  <w:style w:type="paragraph" w:customStyle="1" w:styleId="widget2">
    <w:name w:val="widget2"/>
    <w:basedOn w:val="a1"/>
    <w:uiPriority w:val="99"/>
    <w:qFormat/>
    <w:pPr>
      <w:pBdr>
        <w:bottom w:val="single" w:sz="6" w:space="0" w:color="ECEDE8"/>
      </w:pBdr>
      <w:spacing w:beforeAutospacing="1" w:afterAutospacing="1" w:line="240" w:lineRule="auto"/>
    </w:pPr>
    <w:rPr>
      <w:rFonts w:ascii="Times New Roman" w:eastAsia="Times New Roman" w:hAnsi="Times New Roman" w:cs="Times New Roman"/>
      <w:vanish/>
      <w:sz w:val="24"/>
      <w:szCs w:val="24"/>
      <w:lang w:eastAsia="ru-RU"/>
    </w:rPr>
  </w:style>
  <w:style w:type="paragraph" w:customStyle="1" w:styleId="widget-title1">
    <w:name w:val="widget-title1"/>
    <w:basedOn w:val="a1"/>
    <w:uiPriority w:val="99"/>
    <w:qFormat/>
    <w:pPr>
      <w:shd w:val="clear" w:color="auto" w:fill="FAFAFA"/>
      <w:spacing w:beforeAutospacing="1" w:afterAutospacing="1" w:line="240" w:lineRule="auto"/>
    </w:pPr>
    <w:rPr>
      <w:rFonts w:ascii="Arial" w:eastAsia="Times New Roman" w:hAnsi="Arial" w:cs="Arial"/>
      <w:caps/>
      <w:vanish/>
      <w:color w:val="333333"/>
      <w:sz w:val="20"/>
      <w:szCs w:val="20"/>
      <w:lang w:eastAsia="ru-RU"/>
    </w:rPr>
  </w:style>
  <w:style w:type="paragraph" w:customStyle="1" w:styleId="wpgallery1">
    <w:name w:val="wpgallery1"/>
    <w:basedOn w:val="a1"/>
    <w:uiPriority w:val="99"/>
    <w:qFormat/>
    <w:pPr>
      <w:spacing w:beforeAutospacing="1" w:afterAutospacing="1" w:line="240" w:lineRule="auto"/>
      <w:ind w:left="150"/>
    </w:pPr>
    <w:rPr>
      <w:rFonts w:ascii="Times New Roman" w:eastAsia="Times New Roman" w:hAnsi="Times New Roman" w:cs="Times New Roman"/>
      <w:sz w:val="24"/>
      <w:szCs w:val="24"/>
      <w:lang w:eastAsia="ru-RU"/>
    </w:rPr>
  </w:style>
  <w:style w:type="paragraph" w:customStyle="1" w:styleId="separator1">
    <w:name w:val="separator1"/>
    <w:basedOn w:val="a1"/>
    <w:uiPriority w:val="99"/>
    <w:qFormat/>
    <w:pPr>
      <w:pBdr>
        <w:bottom w:val="single" w:sz="6" w:space="0" w:color="D6D6D6"/>
      </w:pBdr>
      <w:spacing w:before="90" w:after="90" w:line="15" w:lineRule="atLeast"/>
    </w:pPr>
    <w:rPr>
      <w:rFonts w:ascii="Times New Roman" w:eastAsia="Times New Roman" w:hAnsi="Times New Roman" w:cs="Times New Roman"/>
      <w:sz w:val="24"/>
      <w:szCs w:val="24"/>
      <w:lang w:eastAsia="ru-RU"/>
    </w:rPr>
  </w:style>
  <w:style w:type="paragraph" w:customStyle="1" w:styleId="sn-label1">
    <w:name w:val="sn-label1"/>
    <w:basedOn w:val="a1"/>
    <w:uiPriority w:val="99"/>
    <w:qFormat/>
    <w:pPr>
      <w:spacing w:beforeAutospacing="1" w:afterAutospacing="1" w:line="240" w:lineRule="auto"/>
    </w:pPr>
    <w:rPr>
      <w:rFonts w:ascii="Arial" w:eastAsia="Times New Roman" w:hAnsi="Arial" w:cs="Arial"/>
      <w:color w:val="595959"/>
      <w:sz w:val="24"/>
      <w:szCs w:val="24"/>
      <w:lang w:eastAsia="ru-RU"/>
    </w:rPr>
  </w:style>
  <w:style w:type="paragraph" w:customStyle="1" w:styleId="uptlsharemorepopuppanel1">
    <w:name w:val="uptl_share_more_popup_panel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close1">
    <w:name w:val="uptl_share_more_popup_close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note1">
    <w:name w:val="uptl_share_more_popup__note1"/>
    <w:basedOn w:val="a1"/>
    <w:uiPriority w:val="99"/>
    <w:qFormat/>
    <w:pPr>
      <w:spacing w:after="0" w:line="240" w:lineRule="auto"/>
      <w:jc w:val="center"/>
    </w:pPr>
    <w:rPr>
      <w:rFonts w:ascii="Times New Roman" w:eastAsia="Times New Roman" w:hAnsi="Times New Roman" w:cs="Times New Roman"/>
      <w:sz w:val="15"/>
      <w:szCs w:val="15"/>
      <w:lang w:eastAsia="ru-RU"/>
    </w:rPr>
  </w:style>
  <w:style w:type="paragraph" w:customStyle="1" w:styleId="small-logo1">
    <w:name w:val="small-logo1"/>
    <w:basedOn w:val="a1"/>
    <w:uiPriority w:val="99"/>
    <w:qFormat/>
    <w:pPr>
      <w:spacing w:beforeAutospacing="1" w:afterAutospacing="1" w:line="240" w:lineRule="auto"/>
    </w:pPr>
    <w:rPr>
      <w:rFonts w:ascii="Times New Roman" w:eastAsia="Times New Roman" w:hAnsi="Times New Roman" w:cs="Times New Roman"/>
      <w:sz w:val="21"/>
      <w:szCs w:val="21"/>
      <w:lang w:eastAsia="ru-RU"/>
    </w:rPr>
  </w:style>
  <w:style w:type="paragraph" w:customStyle="1" w:styleId="bold1">
    <w:name w:val="__bold1"/>
    <w:basedOn w:val="a1"/>
    <w:uiPriority w:val="99"/>
    <w:qFormat/>
    <w:pPr>
      <w:spacing w:beforeAutospacing="1" w:afterAutospacing="1" w:line="240" w:lineRule="auto"/>
    </w:pPr>
    <w:rPr>
      <w:rFonts w:ascii="Times New Roman" w:eastAsia="Times New Roman" w:hAnsi="Times New Roman" w:cs="Times New Roman"/>
      <w:b/>
      <w:bCs/>
      <w:sz w:val="24"/>
      <w:szCs w:val="24"/>
      <w:lang w:eastAsia="ru-RU"/>
    </w:rPr>
  </w:style>
  <w:style w:type="paragraph" w:customStyle="1" w:styleId="small-logo-icon1">
    <w:name w:val="small-logo-icon1"/>
    <w:basedOn w:val="a1"/>
    <w:uiPriority w:val="99"/>
    <w:qFormat/>
    <w:pPr>
      <w:spacing w:beforeAutospacing="1" w:afterAutospacing="1" w:line="240" w:lineRule="auto"/>
      <w:ind w:right="45"/>
    </w:pPr>
    <w:rPr>
      <w:rFonts w:ascii="Times New Roman" w:eastAsia="Times New Roman" w:hAnsi="Times New Roman" w:cs="Times New Roman"/>
      <w:sz w:val="24"/>
      <w:szCs w:val="24"/>
      <w:lang w:eastAsia="ru-RU"/>
    </w:rPr>
  </w:style>
  <w:style w:type="paragraph" w:customStyle="1" w:styleId="uptlsharemorepopuplist1">
    <w:name w:val="uptl_share_more_popup__list1"/>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sn-icon1">
    <w:name w:val="sn-icon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label2">
    <w:name w:val="sn-label2"/>
    <w:basedOn w:val="a1"/>
    <w:uiPriority w:val="99"/>
    <w:qFormat/>
    <w:pPr>
      <w:spacing w:beforeAutospacing="1" w:afterAutospacing="1" w:line="288" w:lineRule="atLeast"/>
    </w:pPr>
    <w:rPr>
      <w:rFonts w:ascii="Arial" w:eastAsia="Times New Roman" w:hAnsi="Arial" w:cs="Arial"/>
      <w:color w:val="595959"/>
      <w:sz w:val="21"/>
      <w:szCs w:val="21"/>
      <w:lang w:eastAsia="ru-RU"/>
    </w:rPr>
  </w:style>
  <w:style w:type="paragraph" w:customStyle="1" w:styleId="utlclose1">
    <w:name w:val="__utl_close1"/>
    <w:basedOn w:val="a1"/>
    <w:uiPriority w:val="99"/>
    <w:qFormat/>
    <w:pPr>
      <w:spacing w:before="300" w:after="300" w:line="240" w:lineRule="auto"/>
    </w:pPr>
    <w:rPr>
      <w:rFonts w:ascii="Times New Roman" w:eastAsia="Times New Roman" w:hAnsi="Times New Roman" w:cs="Times New Roman"/>
      <w:sz w:val="24"/>
      <w:szCs w:val="24"/>
      <w:lang w:eastAsia="ru-RU"/>
    </w:rPr>
  </w:style>
  <w:style w:type="paragraph" w:customStyle="1" w:styleId="utllogo1">
    <w:name w:val="__utl_logo1"/>
    <w:basedOn w:val="a1"/>
    <w:uiPriority w:val="99"/>
    <w:qFormat/>
    <w:pPr>
      <w:spacing w:after="0" w:line="240" w:lineRule="auto"/>
      <w:ind w:left="45" w:right="45"/>
    </w:pPr>
    <w:rPr>
      <w:rFonts w:ascii="Times New Roman" w:eastAsia="Times New Roman" w:hAnsi="Times New Roman" w:cs="Times New Roman"/>
      <w:sz w:val="24"/>
      <w:szCs w:val="24"/>
      <w:lang w:eastAsia="ru-RU"/>
    </w:rPr>
  </w:style>
  <w:style w:type="paragraph" w:customStyle="1" w:styleId="utlfollowusbtn1">
    <w:name w:val="__utl__followusbtn1"/>
    <w:basedOn w:val="a1"/>
    <w:uiPriority w:val="99"/>
    <w:qFormat/>
    <w:pPr>
      <w:shd w:val="clear" w:color="auto" w:fill="CCCCCC"/>
      <w:spacing w:before="300" w:after="225" w:line="240" w:lineRule="auto"/>
    </w:pPr>
    <w:rPr>
      <w:rFonts w:ascii="Times New Roman" w:eastAsia="Times New Roman" w:hAnsi="Times New Roman" w:cs="Times New Roman"/>
      <w:caps/>
      <w:color w:val="FFFFFF"/>
      <w:sz w:val="24"/>
      <w:szCs w:val="24"/>
      <w:lang w:eastAsia="ru-RU"/>
    </w:rPr>
  </w:style>
  <w:style w:type="paragraph" w:customStyle="1" w:styleId="utlfollowusbtn2">
    <w:name w:val="__utl__followusbtn2"/>
    <w:basedOn w:val="a1"/>
    <w:uiPriority w:val="99"/>
    <w:qFormat/>
    <w:pPr>
      <w:shd w:val="clear" w:color="auto" w:fill="CCCCCC"/>
      <w:spacing w:before="300" w:after="225" w:line="240" w:lineRule="auto"/>
    </w:pPr>
    <w:rPr>
      <w:rFonts w:ascii="Times New Roman" w:eastAsia="Times New Roman" w:hAnsi="Times New Roman" w:cs="Times New Roman"/>
      <w:caps/>
      <w:color w:val="FFFFFF"/>
      <w:sz w:val="24"/>
      <w:szCs w:val="24"/>
      <w:lang w:eastAsia="ru-RU"/>
    </w:rPr>
  </w:style>
  <w:style w:type="paragraph" w:customStyle="1" w:styleId="utlfollowusbtnsmall1">
    <w:name w:val="__utl__followusbtnsmall1"/>
    <w:basedOn w:val="a1"/>
    <w:uiPriority w:val="99"/>
    <w:qFormat/>
    <w:pPr>
      <w:spacing w:before="300" w:after="300" w:line="450" w:lineRule="atLeast"/>
      <w:ind w:left="75"/>
    </w:pPr>
    <w:rPr>
      <w:rFonts w:ascii="Times New Roman" w:eastAsia="Times New Roman" w:hAnsi="Times New Roman" w:cs="Times New Roman"/>
      <w:color w:val="FFFFFF"/>
      <w:sz w:val="45"/>
      <w:szCs w:val="45"/>
      <w:lang w:eastAsia="ru-RU"/>
    </w:rPr>
  </w:style>
  <w:style w:type="paragraph" w:customStyle="1" w:styleId="sn-icon-161">
    <w:name w:val="sn-icon-161"/>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162">
    <w:name w:val="sn-icon-162"/>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163">
    <w:name w:val="sn-icon-163"/>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164">
    <w:name w:val="sn-icon-164"/>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2">
    <w:name w:val="sn-icon2"/>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sn-icon3">
    <w:name w:val="sn-icon3"/>
    <w:basedOn w:val="a1"/>
    <w:uiPriority w:val="99"/>
    <w:qFormat/>
    <w:pPr>
      <w:spacing w:after="0" w:line="300" w:lineRule="atLeast"/>
    </w:pPr>
    <w:rPr>
      <w:rFonts w:ascii="Times New Roman" w:eastAsia="Times New Roman" w:hAnsi="Times New Roman" w:cs="Times New Roman"/>
      <w:sz w:val="30"/>
      <w:szCs w:val="30"/>
      <w:lang w:eastAsia="ru-RU"/>
    </w:rPr>
  </w:style>
  <w:style w:type="paragraph" w:customStyle="1" w:styleId="sn-icon4">
    <w:name w:val="sn-icon4"/>
    <w:basedOn w:val="a1"/>
    <w:uiPriority w:val="99"/>
    <w:qFormat/>
    <w:pPr>
      <w:spacing w:after="0" w:line="450" w:lineRule="atLeast"/>
    </w:pPr>
    <w:rPr>
      <w:rFonts w:ascii="Times New Roman" w:eastAsia="Times New Roman" w:hAnsi="Times New Roman" w:cs="Times New Roman"/>
      <w:sz w:val="45"/>
      <w:szCs w:val="45"/>
      <w:lang w:eastAsia="ru-RU"/>
    </w:rPr>
  </w:style>
  <w:style w:type="paragraph" w:customStyle="1" w:styleId="sn-icon5">
    <w:name w:val="sn-icon5"/>
    <w:basedOn w:val="a1"/>
    <w:uiPriority w:val="99"/>
    <w:qFormat/>
    <w:pPr>
      <w:spacing w:after="0" w:line="600" w:lineRule="atLeast"/>
    </w:pPr>
    <w:rPr>
      <w:rFonts w:ascii="Times New Roman" w:eastAsia="Times New Roman" w:hAnsi="Times New Roman" w:cs="Times New Roman"/>
      <w:sz w:val="60"/>
      <w:szCs w:val="60"/>
      <w:lang w:eastAsia="ru-RU"/>
    </w:rPr>
  </w:style>
  <w:style w:type="paragraph" w:customStyle="1" w:styleId="sn-icon6">
    <w:name w:val="sn-icon6"/>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7">
    <w:name w:val="sn-icon7"/>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8">
    <w:name w:val="sn-icon8"/>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9">
    <w:name w:val="sn-icon9"/>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10">
    <w:name w:val="sn-icon10"/>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11">
    <w:name w:val="sn-icon11"/>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12">
    <w:name w:val="sn-icon1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13">
    <w:name w:val="sn-icon13"/>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14">
    <w:name w:val="sn-icon14"/>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sn-icon15">
    <w:name w:val="sn-icon15"/>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sn-icon16">
    <w:name w:val="sn-icon16"/>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sn-icon17">
    <w:name w:val="sn-icon17"/>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host">
    <w:name w:val="hos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ext1">
    <w:name w:val="text"/>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desc3">
    <w:name w:val="desc3"/>
    <w:basedOn w:val="a1"/>
    <w:uiPriority w:val="99"/>
    <w:qFormat/>
    <w:pPr>
      <w:spacing w:before="75" w:afterAutospacing="1" w:line="255" w:lineRule="atLeast"/>
    </w:pPr>
    <w:rPr>
      <w:rFonts w:ascii="Arial" w:eastAsia="Times New Roman" w:hAnsi="Arial" w:cs="Arial"/>
      <w:color w:val="AAAAAA"/>
      <w:sz w:val="17"/>
      <w:szCs w:val="17"/>
      <w:lang w:eastAsia="ru-RU"/>
    </w:rPr>
  </w:style>
  <w:style w:type="paragraph" w:customStyle="1" w:styleId="desc4">
    <w:name w:val="desc4"/>
    <w:basedOn w:val="a1"/>
    <w:uiPriority w:val="99"/>
    <w:qFormat/>
    <w:pPr>
      <w:spacing w:before="75" w:afterAutospacing="1" w:line="255" w:lineRule="atLeast"/>
    </w:pPr>
    <w:rPr>
      <w:rFonts w:ascii="Arial" w:eastAsia="Times New Roman" w:hAnsi="Arial" w:cs="Arial"/>
      <w:color w:val="AAAAAA"/>
      <w:sz w:val="17"/>
      <w:szCs w:val="17"/>
      <w:lang w:eastAsia="ru-RU"/>
    </w:rPr>
  </w:style>
  <w:style w:type="paragraph" w:customStyle="1" w:styleId="sf-sub-indicator5">
    <w:name w:val="sf-sub-indicator5"/>
    <w:basedOn w:val="a1"/>
    <w:uiPriority w:val="99"/>
    <w:qFormat/>
    <w:pPr>
      <w:spacing w:beforeAutospacing="1" w:afterAutospacing="1" w:line="240" w:lineRule="auto"/>
    </w:pPr>
    <w:rPr>
      <w:rFonts w:ascii="Times New Roman" w:eastAsia="Times New Roman" w:hAnsi="Times New Roman" w:cs="Times New Roman"/>
      <w:vanish/>
      <w:sz w:val="24"/>
      <w:szCs w:val="24"/>
      <w:lang w:eastAsia="ru-RU"/>
    </w:rPr>
  </w:style>
  <w:style w:type="paragraph" w:customStyle="1" w:styleId="sf-sub-indicator6">
    <w:name w:val="sf-sub-indicator6"/>
    <w:basedOn w:val="a1"/>
    <w:uiPriority w:val="99"/>
    <w:qFormat/>
    <w:pPr>
      <w:spacing w:beforeAutospacing="1" w:afterAutospacing="1" w:line="240" w:lineRule="auto"/>
      <w:ind w:firstLine="22384"/>
    </w:pPr>
    <w:rPr>
      <w:rFonts w:ascii="Times New Roman" w:eastAsia="Times New Roman" w:hAnsi="Times New Roman" w:cs="Times New Roman"/>
      <w:sz w:val="24"/>
      <w:szCs w:val="24"/>
      <w:lang w:eastAsia="ru-RU"/>
    </w:rPr>
  </w:style>
  <w:style w:type="paragraph" w:customStyle="1" w:styleId="sf-sub-indicator7">
    <w:name w:val="sf-sub-indicator7"/>
    <w:basedOn w:val="a1"/>
    <w:uiPriority w:val="99"/>
    <w:qFormat/>
    <w:pPr>
      <w:spacing w:beforeAutospacing="1" w:afterAutospacing="1" w:line="240" w:lineRule="auto"/>
    </w:pPr>
    <w:rPr>
      <w:rFonts w:ascii="Times New Roman" w:eastAsia="Times New Roman" w:hAnsi="Times New Roman" w:cs="Times New Roman"/>
      <w:vanish/>
      <w:sz w:val="24"/>
      <w:szCs w:val="24"/>
      <w:lang w:eastAsia="ru-RU"/>
    </w:rPr>
  </w:style>
  <w:style w:type="paragraph" w:customStyle="1" w:styleId="sf-sub-indicator8">
    <w:name w:val="sf-sub-indicator8"/>
    <w:basedOn w:val="a1"/>
    <w:uiPriority w:val="99"/>
    <w:qFormat/>
    <w:pPr>
      <w:spacing w:beforeAutospacing="1" w:afterAutospacing="1" w:line="240" w:lineRule="auto"/>
      <w:ind w:firstLine="22384"/>
    </w:pPr>
    <w:rPr>
      <w:rFonts w:ascii="Times New Roman" w:eastAsia="Times New Roman" w:hAnsi="Times New Roman" w:cs="Times New Roman"/>
      <w:sz w:val="24"/>
      <w:szCs w:val="24"/>
      <w:lang w:eastAsia="ru-RU"/>
    </w:rPr>
  </w:style>
  <w:style w:type="paragraph" w:customStyle="1" w:styleId="tip2">
    <w:name w:val="tip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home2">
    <w:name w:val="home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urrent-time2">
    <w:name w:val="current-time2"/>
    <w:basedOn w:val="a1"/>
    <w:uiPriority w:val="99"/>
    <w:qFormat/>
    <w:pPr>
      <w:spacing w:beforeAutospacing="1" w:afterAutospacing="1" w:line="450" w:lineRule="atLeast"/>
    </w:pPr>
    <w:rPr>
      <w:rFonts w:ascii="Times New Roman" w:eastAsia="Times New Roman" w:hAnsi="Times New Roman" w:cs="Times New Roman"/>
      <w:color w:val="888888"/>
      <w:sz w:val="24"/>
      <w:szCs w:val="24"/>
      <w:lang w:eastAsia="ru-RU"/>
    </w:rPr>
  </w:style>
  <w:style w:type="paragraph" w:customStyle="1" w:styleId="featured-thumb2">
    <w:name w:val="featured-thumb2"/>
    <w:basedOn w:val="a1"/>
    <w:uiPriority w:val="99"/>
    <w:qFormat/>
    <w:pPr>
      <w:spacing w:after="150" w:line="240" w:lineRule="auto"/>
    </w:pPr>
    <w:rPr>
      <w:rFonts w:ascii="Times New Roman" w:eastAsia="Times New Roman" w:hAnsi="Times New Roman" w:cs="Times New Roman"/>
      <w:sz w:val="24"/>
      <w:szCs w:val="24"/>
      <w:lang w:eastAsia="ru-RU"/>
    </w:rPr>
  </w:style>
  <w:style w:type="paragraph" w:customStyle="1" w:styleId="container2">
    <w:name w:val="container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ostdate2">
    <w:name w:val="postdate2"/>
    <w:basedOn w:val="a1"/>
    <w:uiPriority w:val="99"/>
    <w:qFormat/>
    <w:pPr>
      <w:spacing w:beforeAutospacing="1" w:afterAutospacing="1" w:line="240" w:lineRule="auto"/>
      <w:ind w:left="-510"/>
    </w:pPr>
    <w:rPr>
      <w:rFonts w:ascii="Arial" w:eastAsia="Times New Roman" w:hAnsi="Arial" w:cs="Arial"/>
      <w:color w:val="666666"/>
      <w:sz w:val="17"/>
      <w:szCs w:val="17"/>
      <w:lang w:eastAsia="ru-RU"/>
    </w:rPr>
  </w:style>
  <w:style w:type="paragraph" w:customStyle="1" w:styleId="item2">
    <w:name w:val="item2"/>
    <w:basedOn w:val="a1"/>
    <w:uiPriority w:val="99"/>
    <w:qFormat/>
    <w:pPr>
      <w:pBdr>
        <w:top w:val="single" w:sz="6" w:space="0" w:color="ECEDE8"/>
        <w:left w:val="single" w:sz="6" w:space="0" w:color="ECEDE8"/>
        <w:bottom w:val="single" w:sz="6" w:space="0" w:color="ECEDE8"/>
        <w:right w:val="single" w:sz="6" w:space="0" w:color="ECEDE8"/>
      </w:pBdr>
      <w:shd w:val="clear" w:color="auto" w:fill="FFFFFF"/>
      <w:spacing w:after="0" w:line="240" w:lineRule="auto"/>
      <w:ind w:left="120" w:right="120"/>
    </w:pPr>
    <w:rPr>
      <w:rFonts w:ascii="Times New Roman" w:eastAsia="Times New Roman" w:hAnsi="Times New Roman" w:cs="Times New Roman"/>
      <w:sz w:val="24"/>
      <w:szCs w:val="24"/>
      <w:lang w:eastAsia="ru-RU"/>
    </w:rPr>
  </w:style>
  <w:style w:type="paragraph" w:customStyle="1" w:styleId="title3">
    <w:name w:val="title3"/>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itle4">
    <w:name w:val="title4"/>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row2">
    <w:name w:val="catbox-row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2">
    <w:name w:val="catbox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atbox-title2">
    <w:name w:val="catbox-title2"/>
    <w:basedOn w:val="a1"/>
    <w:uiPriority w:val="99"/>
    <w:qFormat/>
    <w:pPr>
      <w:pBdr>
        <w:top w:val="single" w:sz="6" w:space="6" w:color="ECEDE8"/>
        <w:bottom w:val="single" w:sz="6" w:space="5" w:color="ECEDE8"/>
        <w:right w:val="single" w:sz="6" w:space="0" w:color="ECEDE8"/>
      </w:pBdr>
      <w:shd w:val="clear" w:color="auto" w:fill="FAFAFA"/>
      <w:spacing w:beforeAutospacing="1" w:afterAutospacing="1" w:line="240" w:lineRule="auto"/>
    </w:pPr>
    <w:rPr>
      <w:rFonts w:ascii="Arial" w:eastAsia="Times New Roman" w:hAnsi="Arial" w:cs="Arial"/>
      <w:caps/>
      <w:sz w:val="20"/>
      <w:szCs w:val="20"/>
      <w:lang w:eastAsia="ru-RU"/>
    </w:rPr>
  </w:style>
  <w:style w:type="paragraph" w:customStyle="1" w:styleId="entry-thumb3">
    <w:name w:val="entry-thumb3"/>
    <w:basedOn w:val="a1"/>
    <w:uiPriority w:val="99"/>
    <w:qFormat/>
    <w:pPr>
      <w:spacing w:after="150" w:line="240" w:lineRule="auto"/>
      <w:ind w:right="150"/>
    </w:pPr>
    <w:rPr>
      <w:rFonts w:ascii="Times New Roman" w:eastAsia="Times New Roman" w:hAnsi="Times New Roman" w:cs="Times New Roman"/>
      <w:sz w:val="24"/>
      <w:szCs w:val="24"/>
      <w:lang w:eastAsia="ru-RU"/>
    </w:rPr>
  </w:style>
  <w:style w:type="paragraph" w:customStyle="1" w:styleId="entry-title2">
    <w:name w:val="entry-title2"/>
    <w:basedOn w:val="a1"/>
    <w:uiPriority w:val="99"/>
    <w:qFormat/>
    <w:pPr>
      <w:spacing w:after="150" w:line="240" w:lineRule="auto"/>
    </w:pPr>
    <w:rPr>
      <w:rFonts w:ascii="Georgia" w:eastAsia="Times New Roman" w:hAnsi="Georgia" w:cs="Times New Roman"/>
      <w:sz w:val="21"/>
      <w:szCs w:val="21"/>
      <w:lang w:eastAsia="ru-RU"/>
    </w:rPr>
  </w:style>
  <w:style w:type="paragraph" w:customStyle="1" w:styleId="entry-excerpt3">
    <w:name w:val="entry-excerpt3"/>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entry-thumb4">
    <w:name w:val="entry-thumb4"/>
    <w:basedOn w:val="a1"/>
    <w:uiPriority w:val="99"/>
    <w:qFormat/>
    <w:pPr>
      <w:spacing w:after="150" w:line="240" w:lineRule="auto"/>
      <w:ind w:right="150"/>
    </w:pPr>
    <w:rPr>
      <w:rFonts w:ascii="Times New Roman" w:eastAsia="Times New Roman" w:hAnsi="Times New Roman" w:cs="Times New Roman"/>
      <w:sz w:val="24"/>
      <w:szCs w:val="24"/>
      <w:lang w:eastAsia="ru-RU"/>
    </w:rPr>
  </w:style>
  <w:style w:type="paragraph" w:customStyle="1" w:styleId="entry-excerpt4">
    <w:name w:val="entry-excerpt4"/>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entry-meta2">
    <w:name w:val="entry-meta2"/>
    <w:basedOn w:val="a1"/>
    <w:uiPriority w:val="99"/>
    <w:qFormat/>
    <w:pPr>
      <w:spacing w:before="150" w:after="90" w:line="240" w:lineRule="auto"/>
    </w:pPr>
    <w:rPr>
      <w:rFonts w:ascii="Times New Roman" w:eastAsia="Times New Roman" w:hAnsi="Times New Roman" w:cs="Times New Roman"/>
      <w:vanish/>
      <w:color w:val="666666"/>
      <w:sz w:val="17"/>
      <w:szCs w:val="17"/>
      <w:lang w:eastAsia="ru-RU"/>
    </w:rPr>
  </w:style>
  <w:style w:type="paragraph" w:customStyle="1" w:styleId="hentry3">
    <w:name w:val="hentry3"/>
    <w:basedOn w:val="a1"/>
    <w:uiPriority w:val="99"/>
    <w:qFormat/>
    <w:pPr>
      <w:spacing w:before="225" w:after="225" w:line="240" w:lineRule="auto"/>
      <w:ind w:left="225" w:right="225"/>
    </w:pPr>
    <w:rPr>
      <w:rFonts w:ascii="Times New Roman" w:eastAsia="Times New Roman" w:hAnsi="Times New Roman" w:cs="Times New Roman"/>
      <w:sz w:val="24"/>
      <w:szCs w:val="24"/>
      <w:lang w:eastAsia="ru-RU"/>
    </w:rPr>
  </w:style>
  <w:style w:type="paragraph" w:customStyle="1" w:styleId="hentry4">
    <w:name w:val="hentry4"/>
    <w:basedOn w:val="a1"/>
    <w:uiPriority w:val="99"/>
    <w:qFormat/>
    <w:pPr>
      <w:spacing w:before="225" w:after="225" w:line="240" w:lineRule="auto"/>
      <w:ind w:left="225" w:right="225"/>
    </w:pPr>
    <w:rPr>
      <w:rFonts w:ascii="Times New Roman" w:eastAsia="Times New Roman" w:hAnsi="Times New Roman" w:cs="Times New Roman"/>
      <w:sz w:val="24"/>
      <w:szCs w:val="24"/>
      <w:lang w:eastAsia="ru-RU"/>
    </w:rPr>
  </w:style>
  <w:style w:type="paragraph" w:customStyle="1" w:styleId="wp-caption-text2">
    <w:name w:val="wp-caption-text2"/>
    <w:basedOn w:val="a1"/>
    <w:uiPriority w:val="99"/>
    <w:qFormat/>
    <w:pPr>
      <w:spacing w:after="0" w:line="180" w:lineRule="atLeast"/>
    </w:pPr>
    <w:rPr>
      <w:rFonts w:ascii="Times New Roman" w:eastAsia="Times New Roman" w:hAnsi="Times New Roman" w:cs="Times New Roman"/>
      <w:sz w:val="17"/>
      <w:szCs w:val="17"/>
      <w:lang w:eastAsia="ru-RU"/>
    </w:rPr>
  </w:style>
  <w:style w:type="paragraph" w:customStyle="1" w:styleId="widget3">
    <w:name w:val="widget3"/>
    <w:basedOn w:val="a1"/>
    <w:uiPriority w:val="99"/>
    <w:qFormat/>
    <w:pPr>
      <w:pBdr>
        <w:bottom w:val="single" w:sz="6" w:space="0" w:color="ECEDE8"/>
      </w:pBdr>
      <w:shd w:val="clear" w:color="auto" w:fill="FFFFFF"/>
      <w:spacing w:beforeAutospacing="1" w:afterAutospacing="1" w:line="240" w:lineRule="auto"/>
    </w:pPr>
    <w:rPr>
      <w:rFonts w:ascii="Times New Roman" w:eastAsia="Times New Roman" w:hAnsi="Times New Roman" w:cs="Times New Roman"/>
      <w:sz w:val="24"/>
      <w:szCs w:val="24"/>
      <w:lang w:eastAsia="ru-RU"/>
    </w:rPr>
  </w:style>
  <w:style w:type="paragraph" w:customStyle="1" w:styleId="textwidget2">
    <w:name w:val="textwidget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meta2">
    <w:name w:val="meta2"/>
    <w:basedOn w:val="a1"/>
    <w:uiPriority w:val="99"/>
    <w:qFormat/>
    <w:pPr>
      <w:spacing w:beforeAutospacing="1" w:afterAutospacing="1" w:line="240" w:lineRule="auto"/>
    </w:pPr>
    <w:rPr>
      <w:rFonts w:ascii="Arial" w:eastAsia="Times New Roman" w:hAnsi="Arial" w:cs="Arial"/>
      <w:caps/>
      <w:color w:val="999999"/>
      <w:sz w:val="17"/>
      <w:szCs w:val="17"/>
      <w:lang w:eastAsia="ru-RU"/>
    </w:rPr>
  </w:style>
  <w:style w:type="paragraph" w:customStyle="1" w:styleId="flickrbadgeimage2">
    <w:name w:val="flickr_badge_image2"/>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wrap2">
    <w:name w:val="wrap2"/>
    <w:basedOn w:val="a1"/>
    <w:uiPriority w:val="99"/>
    <w:qFormat/>
    <w:pPr>
      <w:spacing w:beforeAutospacing="1" w:after="300" w:line="240" w:lineRule="auto"/>
    </w:pPr>
    <w:rPr>
      <w:rFonts w:ascii="Times New Roman" w:eastAsia="Times New Roman" w:hAnsi="Times New Roman" w:cs="Times New Roman"/>
      <w:sz w:val="24"/>
      <w:szCs w:val="24"/>
      <w:lang w:eastAsia="ru-RU"/>
    </w:rPr>
  </w:style>
  <w:style w:type="paragraph" w:customStyle="1" w:styleId="footer-cat2">
    <w:name w:val="footer-cat2"/>
    <w:basedOn w:val="a1"/>
    <w:uiPriority w:val="99"/>
    <w:qFormat/>
    <w:pPr>
      <w:pBdr>
        <w:bottom w:val="single" w:sz="6" w:space="0" w:color="DDDDDD"/>
      </w:pBdr>
      <w:shd w:val="clear" w:color="auto" w:fill="F9F9F9"/>
      <w:spacing w:beforeAutospacing="1" w:afterAutospacing="1" w:line="240" w:lineRule="auto"/>
    </w:pPr>
    <w:rPr>
      <w:rFonts w:ascii="Times New Roman" w:eastAsia="Times New Roman" w:hAnsi="Times New Roman" w:cs="Times New Roman"/>
      <w:sz w:val="24"/>
      <w:szCs w:val="24"/>
      <w:lang w:eastAsia="ru-RU"/>
    </w:rPr>
  </w:style>
  <w:style w:type="paragraph" w:customStyle="1" w:styleId="bottom2">
    <w:name w:val="bottom2"/>
    <w:basedOn w:val="a1"/>
    <w:uiPriority w:val="99"/>
    <w:qFormat/>
    <w:pPr>
      <w:shd w:val="clear" w:color="auto" w:fill="FFFFFF"/>
      <w:spacing w:beforeAutospacing="1" w:afterAutospacing="1" w:line="240" w:lineRule="auto"/>
      <w:jc w:val="center"/>
    </w:pPr>
    <w:rPr>
      <w:rFonts w:ascii="Times New Roman" w:eastAsia="Times New Roman" w:hAnsi="Times New Roman" w:cs="Times New Roman"/>
      <w:color w:val="555555"/>
      <w:sz w:val="17"/>
      <w:szCs w:val="17"/>
      <w:lang w:eastAsia="ru-RU"/>
    </w:rPr>
  </w:style>
  <w:style w:type="paragraph" w:customStyle="1" w:styleId="navigation2">
    <w:name w:val="navigation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n2">
    <w:name w:val="fn2"/>
    <w:basedOn w:val="a1"/>
    <w:uiPriority w:val="99"/>
    <w:qFormat/>
    <w:pPr>
      <w:spacing w:beforeAutospacing="1" w:afterAutospacing="1" w:line="240" w:lineRule="auto"/>
    </w:pPr>
    <w:rPr>
      <w:rFonts w:ascii="Times New Roman" w:eastAsia="Times New Roman" w:hAnsi="Times New Roman" w:cs="Times New Roman"/>
      <w:sz w:val="18"/>
      <w:szCs w:val="18"/>
      <w:lang w:eastAsia="ru-RU"/>
    </w:rPr>
  </w:style>
  <w:style w:type="paragraph" w:customStyle="1" w:styleId="required2">
    <w:name w:val="required2"/>
    <w:basedOn w:val="a1"/>
    <w:uiPriority w:val="99"/>
    <w:qFormat/>
    <w:pPr>
      <w:spacing w:after="0" w:line="240" w:lineRule="auto"/>
      <w:ind w:left="150"/>
    </w:pPr>
    <w:rPr>
      <w:rFonts w:ascii="Times New Roman" w:eastAsia="Times New Roman" w:hAnsi="Times New Roman" w:cs="Times New Roman"/>
      <w:color w:val="B8240D"/>
      <w:sz w:val="24"/>
      <w:szCs w:val="24"/>
      <w:lang w:eastAsia="ru-RU"/>
    </w:rPr>
  </w:style>
  <w:style w:type="paragraph" w:customStyle="1" w:styleId="tab-widget-menu2">
    <w:name w:val="tab-widget-menu2"/>
    <w:basedOn w:val="a1"/>
    <w:uiPriority w:val="99"/>
    <w:qFormat/>
    <w:pPr>
      <w:pBdr>
        <w:bottom w:val="single" w:sz="6" w:space="0" w:color="ECEDE8"/>
      </w:pBdr>
      <w:shd w:val="clear" w:color="auto" w:fill="FAFAFA"/>
      <w:spacing w:beforeAutospacing="1" w:afterAutospacing="1" w:line="240" w:lineRule="auto"/>
    </w:pPr>
    <w:rPr>
      <w:rFonts w:ascii="Times New Roman" w:eastAsia="Times New Roman" w:hAnsi="Times New Roman" w:cs="Times New Roman"/>
      <w:sz w:val="17"/>
      <w:szCs w:val="17"/>
      <w:lang w:eastAsia="ru-RU"/>
    </w:rPr>
  </w:style>
  <w:style w:type="paragraph" w:customStyle="1" w:styleId="widget4">
    <w:name w:val="widget4"/>
    <w:basedOn w:val="a1"/>
    <w:uiPriority w:val="99"/>
    <w:qFormat/>
    <w:pPr>
      <w:pBdr>
        <w:bottom w:val="single" w:sz="6" w:space="0" w:color="ECEDE8"/>
      </w:pBdr>
      <w:spacing w:beforeAutospacing="1" w:afterAutospacing="1" w:line="240" w:lineRule="auto"/>
    </w:pPr>
    <w:rPr>
      <w:rFonts w:ascii="Times New Roman" w:eastAsia="Times New Roman" w:hAnsi="Times New Roman" w:cs="Times New Roman"/>
      <w:vanish/>
      <w:sz w:val="24"/>
      <w:szCs w:val="24"/>
      <w:lang w:eastAsia="ru-RU"/>
    </w:rPr>
  </w:style>
  <w:style w:type="paragraph" w:customStyle="1" w:styleId="widget-title2">
    <w:name w:val="widget-title2"/>
    <w:basedOn w:val="a1"/>
    <w:uiPriority w:val="99"/>
    <w:qFormat/>
    <w:pPr>
      <w:shd w:val="clear" w:color="auto" w:fill="FAFAFA"/>
      <w:spacing w:beforeAutospacing="1" w:afterAutospacing="1" w:line="240" w:lineRule="auto"/>
    </w:pPr>
    <w:rPr>
      <w:rFonts w:ascii="Arial" w:eastAsia="Times New Roman" w:hAnsi="Arial" w:cs="Arial"/>
      <w:caps/>
      <w:vanish/>
      <w:color w:val="333333"/>
      <w:sz w:val="20"/>
      <w:szCs w:val="20"/>
      <w:lang w:eastAsia="ru-RU"/>
    </w:rPr>
  </w:style>
  <w:style w:type="paragraph" w:customStyle="1" w:styleId="wpgallery2">
    <w:name w:val="wpgallery2"/>
    <w:basedOn w:val="a1"/>
    <w:uiPriority w:val="99"/>
    <w:qFormat/>
    <w:pPr>
      <w:spacing w:beforeAutospacing="1" w:afterAutospacing="1" w:line="240" w:lineRule="auto"/>
      <w:ind w:left="150"/>
    </w:pPr>
    <w:rPr>
      <w:rFonts w:ascii="Times New Roman" w:eastAsia="Times New Roman" w:hAnsi="Times New Roman" w:cs="Times New Roman"/>
      <w:sz w:val="24"/>
      <w:szCs w:val="24"/>
      <w:lang w:eastAsia="ru-RU"/>
    </w:rPr>
  </w:style>
  <w:style w:type="paragraph" w:customStyle="1" w:styleId="separator2">
    <w:name w:val="separator2"/>
    <w:basedOn w:val="a1"/>
    <w:uiPriority w:val="99"/>
    <w:qFormat/>
    <w:pPr>
      <w:pBdr>
        <w:bottom w:val="single" w:sz="6" w:space="0" w:color="D6D6D6"/>
      </w:pBdr>
      <w:spacing w:before="90" w:after="90" w:line="15" w:lineRule="atLeast"/>
    </w:pPr>
    <w:rPr>
      <w:rFonts w:ascii="Times New Roman" w:eastAsia="Times New Roman" w:hAnsi="Times New Roman" w:cs="Times New Roman"/>
      <w:sz w:val="24"/>
      <w:szCs w:val="24"/>
      <w:lang w:eastAsia="ru-RU"/>
    </w:rPr>
  </w:style>
  <w:style w:type="paragraph" w:customStyle="1" w:styleId="sn-label3">
    <w:name w:val="sn-label3"/>
    <w:basedOn w:val="a1"/>
    <w:uiPriority w:val="99"/>
    <w:qFormat/>
    <w:pPr>
      <w:spacing w:beforeAutospacing="1" w:afterAutospacing="1" w:line="240" w:lineRule="auto"/>
    </w:pPr>
    <w:rPr>
      <w:rFonts w:ascii="Arial" w:eastAsia="Times New Roman" w:hAnsi="Arial" w:cs="Arial"/>
      <w:color w:val="595959"/>
      <w:sz w:val="24"/>
      <w:szCs w:val="24"/>
      <w:lang w:eastAsia="ru-RU"/>
    </w:rPr>
  </w:style>
  <w:style w:type="paragraph" w:customStyle="1" w:styleId="uptlsharemorepopuppanel2">
    <w:name w:val="uptl_share_more_popup_panel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close2">
    <w:name w:val="uptl_share_more_popup_close2"/>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uptlsharemorepopupnote2">
    <w:name w:val="uptl_share_more_popup__note2"/>
    <w:basedOn w:val="a1"/>
    <w:uiPriority w:val="99"/>
    <w:qFormat/>
    <w:pPr>
      <w:spacing w:after="0" w:line="240" w:lineRule="auto"/>
      <w:jc w:val="center"/>
    </w:pPr>
    <w:rPr>
      <w:rFonts w:ascii="Times New Roman" w:eastAsia="Times New Roman" w:hAnsi="Times New Roman" w:cs="Times New Roman"/>
      <w:sz w:val="15"/>
      <w:szCs w:val="15"/>
      <w:lang w:eastAsia="ru-RU"/>
    </w:rPr>
  </w:style>
  <w:style w:type="paragraph" w:customStyle="1" w:styleId="small-logo2">
    <w:name w:val="small-logo2"/>
    <w:basedOn w:val="a1"/>
    <w:uiPriority w:val="99"/>
    <w:qFormat/>
    <w:pPr>
      <w:spacing w:beforeAutospacing="1" w:afterAutospacing="1" w:line="240" w:lineRule="auto"/>
    </w:pPr>
    <w:rPr>
      <w:rFonts w:ascii="Times New Roman" w:eastAsia="Times New Roman" w:hAnsi="Times New Roman" w:cs="Times New Roman"/>
      <w:sz w:val="21"/>
      <w:szCs w:val="21"/>
      <w:lang w:eastAsia="ru-RU"/>
    </w:rPr>
  </w:style>
  <w:style w:type="paragraph" w:customStyle="1" w:styleId="bold2">
    <w:name w:val="__bold2"/>
    <w:basedOn w:val="a1"/>
    <w:uiPriority w:val="99"/>
    <w:qFormat/>
    <w:pPr>
      <w:spacing w:beforeAutospacing="1" w:afterAutospacing="1" w:line="240" w:lineRule="auto"/>
    </w:pPr>
    <w:rPr>
      <w:rFonts w:ascii="Times New Roman" w:eastAsia="Times New Roman" w:hAnsi="Times New Roman" w:cs="Times New Roman"/>
      <w:b/>
      <w:bCs/>
      <w:sz w:val="24"/>
      <w:szCs w:val="24"/>
      <w:lang w:eastAsia="ru-RU"/>
    </w:rPr>
  </w:style>
  <w:style w:type="paragraph" w:customStyle="1" w:styleId="small-logo-icon2">
    <w:name w:val="small-logo-icon2"/>
    <w:basedOn w:val="a1"/>
    <w:uiPriority w:val="99"/>
    <w:qFormat/>
    <w:pPr>
      <w:spacing w:beforeAutospacing="1" w:afterAutospacing="1" w:line="240" w:lineRule="auto"/>
      <w:ind w:right="45"/>
    </w:pPr>
    <w:rPr>
      <w:rFonts w:ascii="Times New Roman" w:eastAsia="Times New Roman" w:hAnsi="Times New Roman" w:cs="Times New Roman"/>
      <w:sz w:val="24"/>
      <w:szCs w:val="24"/>
      <w:lang w:eastAsia="ru-RU"/>
    </w:rPr>
  </w:style>
  <w:style w:type="paragraph" w:customStyle="1" w:styleId="uptlsharemorepopuplist2">
    <w:name w:val="uptl_share_more_popup__list2"/>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sn-icon18">
    <w:name w:val="sn-icon18"/>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label4">
    <w:name w:val="sn-label4"/>
    <w:basedOn w:val="a1"/>
    <w:uiPriority w:val="99"/>
    <w:qFormat/>
    <w:pPr>
      <w:spacing w:beforeAutospacing="1" w:afterAutospacing="1" w:line="288" w:lineRule="atLeast"/>
    </w:pPr>
    <w:rPr>
      <w:rFonts w:ascii="Arial" w:eastAsia="Times New Roman" w:hAnsi="Arial" w:cs="Arial"/>
      <w:color w:val="595959"/>
      <w:sz w:val="21"/>
      <w:szCs w:val="21"/>
      <w:lang w:eastAsia="ru-RU"/>
    </w:rPr>
  </w:style>
  <w:style w:type="paragraph" w:customStyle="1" w:styleId="utlclose2">
    <w:name w:val="__utl_close2"/>
    <w:basedOn w:val="a1"/>
    <w:uiPriority w:val="99"/>
    <w:qFormat/>
    <w:pPr>
      <w:spacing w:before="300" w:after="300" w:line="240" w:lineRule="auto"/>
    </w:pPr>
    <w:rPr>
      <w:rFonts w:ascii="Times New Roman" w:eastAsia="Times New Roman" w:hAnsi="Times New Roman" w:cs="Times New Roman"/>
      <w:sz w:val="24"/>
      <w:szCs w:val="24"/>
      <w:lang w:eastAsia="ru-RU"/>
    </w:rPr>
  </w:style>
  <w:style w:type="paragraph" w:customStyle="1" w:styleId="utllogo2">
    <w:name w:val="__utl_logo2"/>
    <w:basedOn w:val="a1"/>
    <w:uiPriority w:val="99"/>
    <w:qFormat/>
    <w:pPr>
      <w:spacing w:after="0" w:line="240" w:lineRule="auto"/>
      <w:ind w:left="45" w:right="45"/>
    </w:pPr>
    <w:rPr>
      <w:rFonts w:ascii="Times New Roman" w:eastAsia="Times New Roman" w:hAnsi="Times New Roman" w:cs="Times New Roman"/>
      <w:sz w:val="24"/>
      <w:szCs w:val="24"/>
      <w:lang w:eastAsia="ru-RU"/>
    </w:rPr>
  </w:style>
  <w:style w:type="paragraph" w:customStyle="1" w:styleId="utlfollowusbtn3">
    <w:name w:val="__utl__followusbtn3"/>
    <w:basedOn w:val="a1"/>
    <w:uiPriority w:val="99"/>
    <w:qFormat/>
    <w:pPr>
      <w:shd w:val="clear" w:color="auto" w:fill="CCCCCC"/>
      <w:spacing w:before="300" w:after="225" w:line="240" w:lineRule="auto"/>
    </w:pPr>
    <w:rPr>
      <w:rFonts w:ascii="Times New Roman" w:eastAsia="Times New Roman" w:hAnsi="Times New Roman" w:cs="Times New Roman"/>
      <w:caps/>
      <w:color w:val="FFFFFF"/>
      <w:sz w:val="24"/>
      <w:szCs w:val="24"/>
      <w:lang w:eastAsia="ru-RU"/>
    </w:rPr>
  </w:style>
  <w:style w:type="paragraph" w:customStyle="1" w:styleId="utlfollowusbtn4">
    <w:name w:val="__utl__followusbtn4"/>
    <w:basedOn w:val="a1"/>
    <w:uiPriority w:val="99"/>
    <w:qFormat/>
    <w:pPr>
      <w:shd w:val="clear" w:color="auto" w:fill="CCCCCC"/>
      <w:spacing w:before="300" w:after="225" w:line="240" w:lineRule="auto"/>
    </w:pPr>
    <w:rPr>
      <w:rFonts w:ascii="Times New Roman" w:eastAsia="Times New Roman" w:hAnsi="Times New Roman" w:cs="Times New Roman"/>
      <w:caps/>
      <w:color w:val="FFFFFF"/>
      <w:sz w:val="24"/>
      <w:szCs w:val="24"/>
      <w:lang w:eastAsia="ru-RU"/>
    </w:rPr>
  </w:style>
  <w:style w:type="paragraph" w:customStyle="1" w:styleId="utlfollowusbtnsmall2">
    <w:name w:val="__utl__followusbtnsmall2"/>
    <w:basedOn w:val="a1"/>
    <w:uiPriority w:val="99"/>
    <w:qFormat/>
    <w:pPr>
      <w:spacing w:before="300" w:after="300" w:line="450" w:lineRule="atLeast"/>
      <w:ind w:left="75"/>
    </w:pPr>
    <w:rPr>
      <w:rFonts w:ascii="Times New Roman" w:eastAsia="Times New Roman" w:hAnsi="Times New Roman" w:cs="Times New Roman"/>
      <w:color w:val="FFFFFF"/>
      <w:sz w:val="45"/>
      <w:szCs w:val="45"/>
      <w:lang w:eastAsia="ru-RU"/>
    </w:rPr>
  </w:style>
  <w:style w:type="paragraph" w:customStyle="1" w:styleId="sn-icon-165">
    <w:name w:val="sn-icon-165"/>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166">
    <w:name w:val="sn-icon-166"/>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167">
    <w:name w:val="sn-icon-167"/>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168">
    <w:name w:val="sn-icon-168"/>
    <w:basedOn w:val="a1"/>
    <w:uiPriority w:val="99"/>
    <w:qFormat/>
    <w:pPr>
      <w:spacing w:beforeAutospacing="1" w:afterAutospacing="1" w:line="240" w:lineRule="atLeast"/>
    </w:pPr>
    <w:rPr>
      <w:rFonts w:ascii="Times New Roman" w:eastAsia="Times New Roman" w:hAnsi="Times New Roman" w:cs="Times New Roman"/>
      <w:sz w:val="24"/>
      <w:szCs w:val="24"/>
      <w:lang w:eastAsia="ru-RU"/>
    </w:rPr>
  </w:style>
  <w:style w:type="paragraph" w:customStyle="1" w:styleId="sn-icon19">
    <w:name w:val="sn-icon19"/>
    <w:basedOn w:val="a1"/>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sn-icon20">
    <w:name w:val="sn-icon20"/>
    <w:basedOn w:val="a1"/>
    <w:uiPriority w:val="99"/>
    <w:qFormat/>
    <w:pPr>
      <w:spacing w:after="0" w:line="300" w:lineRule="atLeast"/>
    </w:pPr>
    <w:rPr>
      <w:rFonts w:ascii="Times New Roman" w:eastAsia="Times New Roman" w:hAnsi="Times New Roman" w:cs="Times New Roman"/>
      <w:sz w:val="30"/>
      <w:szCs w:val="30"/>
      <w:lang w:eastAsia="ru-RU"/>
    </w:rPr>
  </w:style>
  <w:style w:type="paragraph" w:customStyle="1" w:styleId="sn-icon21">
    <w:name w:val="sn-icon21"/>
    <w:basedOn w:val="a1"/>
    <w:uiPriority w:val="99"/>
    <w:qFormat/>
    <w:pPr>
      <w:spacing w:after="0" w:line="450" w:lineRule="atLeast"/>
    </w:pPr>
    <w:rPr>
      <w:rFonts w:ascii="Times New Roman" w:eastAsia="Times New Roman" w:hAnsi="Times New Roman" w:cs="Times New Roman"/>
      <w:sz w:val="45"/>
      <w:szCs w:val="45"/>
      <w:lang w:eastAsia="ru-RU"/>
    </w:rPr>
  </w:style>
  <w:style w:type="paragraph" w:customStyle="1" w:styleId="sn-icon22">
    <w:name w:val="sn-icon22"/>
    <w:basedOn w:val="a1"/>
    <w:uiPriority w:val="99"/>
    <w:qFormat/>
    <w:pPr>
      <w:spacing w:after="0" w:line="600" w:lineRule="atLeast"/>
    </w:pPr>
    <w:rPr>
      <w:rFonts w:ascii="Times New Roman" w:eastAsia="Times New Roman" w:hAnsi="Times New Roman" w:cs="Times New Roman"/>
      <w:sz w:val="60"/>
      <w:szCs w:val="60"/>
      <w:lang w:eastAsia="ru-RU"/>
    </w:rPr>
  </w:style>
  <w:style w:type="paragraph" w:customStyle="1" w:styleId="sn-icon23">
    <w:name w:val="sn-icon23"/>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24">
    <w:name w:val="sn-icon24"/>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25">
    <w:name w:val="sn-icon25"/>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26">
    <w:name w:val="sn-icon26"/>
    <w:basedOn w:val="a1"/>
    <w:uiPriority w:val="99"/>
    <w:qFormat/>
    <w:pPr>
      <w:shd w:val="clear" w:color="auto" w:fill="EFEFF0"/>
      <w:spacing w:beforeAutospacing="1" w:afterAutospacing="1" w:line="240" w:lineRule="auto"/>
    </w:pPr>
    <w:rPr>
      <w:rFonts w:ascii="Times New Roman" w:eastAsia="Times New Roman" w:hAnsi="Times New Roman" w:cs="Times New Roman"/>
      <w:color w:val="AAB1B8"/>
      <w:sz w:val="24"/>
      <w:szCs w:val="24"/>
      <w:lang w:eastAsia="ru-RU"/>
    </w:rPr>
  </w:style>
  <w:style w:type="paragraph" w:customStyle="1" w:styleId="sn-icon27">
    <w:name w:val="sn-icon27"/>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28">
    <w:name w:val="sn-icon28"/>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29">
    <w:name w:val="sn-icon29"/>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30">
    <w:name w:val="sn-icon30"/>
    <w:basedOn w:val="a1"/>
    <w:uiPriority w:val="99"/>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n-icon31">
    <w:name w:val="sn-icon31"/>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sn-icon32">
    <w:name w:val="sn-icon32"/>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sn-icon33">
    <w:name w:val="sn-icon33"/>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sn-icon34">
    <w:name w:val="sn-icon34"/>
    <w:basedOn w:val="a1"/>
    <w:uiPriority w:val="99"/>
    <w:qFormat/>
    <w:pPr>
      <w:shd w:val="clear" w:color="auto" w:fill="000000"/>
      <w:spacing w:beforeAutospacing="1" w:afterAutospacing="1" w:line="240" w:lineRule="auto"/>
    </w:pPr>
    <w:rPr>
      <w:rFonts w:ascii="Times New Roman" w:eastAsia="Times New Roman" w:hAnsi="Times New Roman" w:cs="Times New Roman"/>
      <w:color w:val="FFFFFF"/>
      <w:sz w:val="24"/>
      <w:szCs w:val="24"/>
      <w:lang w:eastAsia="ru-RU"/>
    </w:rPr>
  </w:style>
  <w:style w:type="paragraph" w:customStyle="1" w:styleId="text10">
    <w:name w:val="text1"/>
    <w:basedOn w:val="a1"/>
    <w:uiPriority w:val="99"/>
    <w:qFormat/>
    <w:pPr>
      <w:spacing w:after="0" w:line="240" w:lineRule="auto"/>
    </w:pPr>
    <w:rPr>
      <w:rFonts w:ascii="Times New Roman" w:eastAsia="Times New Roman" w:hAnsi="Times New Roman" w:cs="Times New Roman"/>
      <w:color w:val="000000"/>
      <w:sz w:val="18"/>
      <w:szCs w:val="18"/>
      <w:lang w:eastAsia="ru-RU"/>
    </w:rPr>
  </w:style>
  <w:style w:type="paragraph" w:customStyle="1" w:styleId="host1">
    <w:name w:val="host1"/>
    <w:basedOn w:val="a1"/>
    <w:uiPriority w:val="99"/>
    <w:qFormat/>
    <w:pPr>
      <w:spacing w:after="0" w:line="240" w:lineRule="auto"/>
    </w:pPr>
    <w:rPr>
      <w:rFonts w:ascii="Times New Roman" w:eastAsia="Times New Roman" w:hAnsi="Times New Roman" w:cs="Times New Roman"/>
      <w:color w:val="006600"/>
      <w:sz w:val="18"/>
      <w:szCs w:val="18"/>
      <w:lang w:eastAsia="ru-RU"/>
    </w:rPr>
  </w:style>
  <w:style w:type="paragraph" w:customStyle="1" w:styleId="Pa18">
    <w:name w:val="Pa18"/>
    <w:basedOn w:val="Default"/>
    <w:next w:val="Default"/>
    <w:uiPriority w:val="99"/>
    <w:qFormat/>
  </w:style>
  <w:style w:type="paragraph" w:customStyle="1" w:styleId="ZEBRA-0">
    <w:name w:val="ZEBRA- Основной текст"/>
    <w:basedOn w:val="a1"/>
    <w:link w:val="ZEBRA-"/>
    <w:qFormat/>
    <w:pPr>
      <w:spacing w:after="0" w:line="240" w:lineRule="auto"/>
      <w:jc w:val="both"/>
    </w:pPr>
    <w:rPr>
      <w:rFonts w:ascii="Arial" w:eastAsia="Times New Roman" w:hAnsi="Arial" w:cs="Times New Roman"/>
      <w:lang w:eastAsia="ru-RU"/>
    </w:rPr>
  </w:style>
  <w:style w:type="paragraph" w:customStyle="1" w:styleId="1fb">
    <w:name w:val="Абзац списка1"/>
    <w:basedOn w:val="a1"/>
    <w:uiPriority w:val="99"/>
    <w:qFormat/>
    <w:pPr>
      <w:spacing w:after="200" w:line="276" w:lineRule="auto"/>
      <w:ind w:left="720"/>
      <w:contextualSpacing/>
    </w:pPr>
    <w:rPr>
      <w:rFonts w:ascii="Calibri" w:eastAsia="Times New Roman" w:hAnsi="Calibri" w:cs="Times New Roman"/>
      <w:lang w:eastAsia="ru-RU"/>
    </w:rPr>
  </w:style>
  <w:style w:type="paragraph" w:customStyle="1" w:styleId="lastchild">
    <w:name w:val="last_child"/>
    <w:basedOn w:val="a1"/>
    <w:uiPriority w:val="99"/>
    <w:qFormat/>
    <w:pPr>
      <w:spacing w:beforeAutospacing="1" w:after="168" w:line="240" w:lineRule="auto"/>
    </w:pPr>
    <w:rPr>
      <w:rFonts w:ascii="Times New Roman" w:eastAsia="Times New Roman" w:hAnsi="Times New Roman" w:cs="Times New Roman"/>
      <w:sz w:val="24"/>
      <w:szCs w:val="24"/>
      <w:lang w:eastAsia="ru-RU"/>
    </w:rPr>
  </w:style>
  <w:style w:type="paragraph" w:customStyle="1" w:styleId="firstchild">
    <w:name w:val="first_child"/>
    <w:basedOn w:val="a1"/>
    <w:uiPriority w:val="99"/>
    <w:qFormat/>
    <w:pPr>
      <w:spacing w:beforeAutospacing="1" w:after="168" w:line="240" w:lineRule="auto"/>
    </w:pPr>
    <w:rPr>
      <w:rFonts w:ascii="Times New Roman" w:eastAsia="Times New Roman" w:hAnsi="Times New Roman" w:cs="Times New Roman"/>
      <w:sz w:val="24"/>
      <w:szCs w:val="24"/>
      <w:lang w:eastAsia="ru-RU"/>
    </w:rPr>
  </w:style>
  <w:style w:type="paragraph" w:customStyle="1" w:styleId="FR4">
    <w:name w:val="FR4"/>
    <w:qFormat/>
    <w:pPr>
      <w:widowControl w:val="0"/>
      <w:spacing w:before="160"/>
      <w:ind w:left="80" w:firstLine="380"/>
    </w:pPr>
    <w:rPr>
      <w:rFonts w:ascii="Times New Roman" w:eastAsia="Times New Roman" w:hAnsi="Times New Roman" w:cs="Times New Roman"/>
      <w:sz w:val="16"/>
      <w:szCs w:val="20"/>
      <w:lang w:eastAsia="ru-RU"/>
    </w:rPr>
  </w:style>
  <w:style w:type="paragraph" w:customStyle="1" w:styleId="affffff8">
    <w:name w:val="Подподпункт"/>
    <w:basedOn w:val="a1"/>
    <w:uiPriority w:val="99"/>
    <w:qFormat/>
    <w:pPr>
      <w:spacing w:after="0" w:line="360" w:lineRule="auto"/>
      <w:ind w:left="5301" w:hanging="360"/>
      <w:jc w:val="both"/>
    </w:pPr>
    <w:rPr>
      <w:rFonts w:ascii="Calibri" w:eastAsia="Calibri" w:hAnsi="Calibri" w:cs="Times New Roman"/>
      <w:sz w:val="28"/>
      <w:szCs w:val="28"/>
      <w:lang w:eastAsia="ru-RU"/>
    </w:rPr>
  </w:style>
  <w:style w:type="paragraph" w:styleId="z-0">
    <w:name w:val="HTML Top of Form"/>
    <w:basedOn w:val="a1"/>
    <w:next w:val="a1"/>
    <w:link w:val="z-"/>
    <w:uiPriority w:val="99"/>
    <w:semiHidden/>
    <w:unhideWhenUsed/>
    <w:qFormat/>
    <w:pPr>
      <w:pBdr>
        <w:bottom w:val="single" w:sz="6" w:space="1" w:color="000000"/>
      </w:pBdr>
      <w:spacing w:after="0" w:line="276" w:lineRule="auto"/>
      <w:jc w:val="center"/>
    </w:pPr>
    <w:rPr>
      <w:rFonts w:ascii="Arial" w:eastAsia="Calibri" w:hAnsi="Arial" w:cs="Arial"/>
      <w:vanish/>
      <w:sz w:val="16"/>
      <w:szCs w:val="16"/>
      <w:lang w:eastAsia="ru-RU"/>
    </w:rPr>
  </w:style>
  <w:style w:type="paragraph" w:styleId="z-2">
    <w:name w:val="HTML Bottom of Form"/>
    <w:basedOn w:val="a1"/>
    <w:next w:val="a1"/>
    <w:link w:val="z-1"/>
    <w:uiPriority w:val="99"/>
    <w:semiHidden/>
    <w:unhideWhenUsed/>
    <w:qFormat/>
    <w:pPr>
      <w:pBdr>
        <w:top w:val="single" w:sz="6" w:space="1" w:color="000000"/>
      </w:pBdr>
      <w:spacing w:after="0" w:line="276" w:lineRule="auto"/>
      <w:jc w:val="center"/>
    </w:pPr>
    <w:rPr>
      <w:rFonts w:ascii="Arial" w:eastAsia="Calibri" w:hAnsi="Arial" w:cs="Arial"/>
      <w:vanish/>
      <w:sz w:val="16"/>
      <w:szCs w:val="16"/>
      <w:lang w:eastAsia="ru-RU"/>
    </w:rPr>
  </w:style>
  <w:style w:type="paragraph" w:customStyle="1" w:styleId="120">
    <w:name w:val="Заголовок 12"/>
    <w:basedOn w:val="a1"/>
    <w:qFormat/>
    <w:pPr>
      <w:keepNext/>
      <w:spacing w:before="40" w:after="120" w:line="240" w:lineRule="auto"/>
      <w:jc w:val="center"/>
    </w:pPr>
    <w:rPr>
      <w:rFonts w:ascii="Times New Roman" w:eastAsia="Times New Roman" w:hAnsi="Times New Roman" w:cs="Times New Roman"/>
      <w:b/>
      <w:bCs/>
      <w:color w:val="000000"/>
      <w:sz w:val="21"/>
      <w:szCs w:val="21"/>
      <w:lang w:val="en-GB"/>
    </w:rPr>
  </w:style>
  <w:style w:type="paragraph" w:customStyle="1" w:styleId="ConsPlusTitle">
    <w:name w:val="ConsPlusTitle"/>
    <w:qFormat/>
    <w:rPr>
      <w:rFonts w:ascii="Arial" w:eastAsia="Times New Roman" w:hAnsi="Arial"/>
      <w:b/>
      <w:bCs/>
      <w:sz w:val="20"/>
      <w:szCs w:val="20"/>
      <w:lang w:eastAsia="ru-RU"/>
    </w:rPr>
  </w:style>
  <w:style w:type="paragraph" w:customStyle="1" w:styleId="215">
    <w:name w:val="Заголовок 21"/>
    <w:basedOn w:val="a1"/>
    <w:next w:val="a1"/>
    <w:uiPriority w:val="9"/>
    <w:semiHidden/>
    <w:unhideWhenUsed/>
    <w:qFormat/>
    <w:pPr>
      <w:keepNext/>
      <w:keepLines/>
      <w:spacing w:before="200" w:after="0" w:line="276" w:lineRule="auto"/>
      <w:outlineLvl w:val="1"/>
    </w:pPr>
    <w:rPr>
      <w:rFonts w:ascii="Cambria" w:eastAsia="Times New Roman" w:hAnsi="Cambria" w:cs="Times New Roman"/>
      <w:b/>
      <w:bCs/>
      <w:color w:val="4F81BD"/>
      <w:sz w:val="26"/>
      <w:szCs w:val="26"/>
      <w:lang w:eastAsia="ru-RU"/>
    </w:rPr>
  </w:style>
  <w:style w:type="paragraph" w:customStyle="1" w:styleId="312">
    <w:name w:val="Заголовок 31"/>
    <w:basedOn w:val="a1"/>
    <w:next w:val="a1"/>
    <w:uiPriority w:val="9"/>
    <w:semiHidden/>
    <w:unhideWhenUsed/>
    <w:qFormat/>
    <w:pPr>
      <w:keepNext/>
      <w:keepLines/>
      <w:spacing w:before="200" w:after="0" w:line="276" w:lineRule="auto"/>
      <w:outlineLvl w:val="2"/>
    </w:pPr>
    <w:rPr>
      <w:rFonts w:ascii="Cambria" w:eastAsia="Times New Roman" w:hAnsi="Cambria" w:cs="Times New Roman"/>
      <w:b/>
      <w:bCs/>
      <w:color w:val="4F81BD"/>
      <w:lang w:eastAsia="ru-RU"/>
    </w:rPr>
  </w:style>
  <w:style w:type="paragraph" w:customStyle="1" w:styleId="710">
    <w:name w:val="Заголовок 71"/>
    <w:basedOn w:val="a1"/>
    <w:next w:val="a1"/>
    <w:uiPriority w:val="9"/>
    <w:unhideWhenUsed/>
    <w:qFormat/>
    <w:pPr>
      <w:keepNext/>
      <w:keepLines/>
      <w:spacing w:before="200" w:after="0" w:line="276" w:lineRule="auto"/>
      <w:outlineLvl w:val="6"/>
    </w:pPr>
    <w:rPr>
      <w:rFonts w:ascii="Cambria" w:eastAsia="Times New Roman" w:hAnsi="Cambria" w:cs="Times New Roman"/>
      <w:i/>
      <w:iCs/>
      <w:color w:val="404040"/>
      <w:lang w:eastAsia="ru-RU"/>
    </w:rPr>
  </w:style>
  <w:style w:type="paragraph" w:customStyle="1" w:styleId="1fc">
    <w:name w:val="Заголовок оглавления1"/>
    <w:basedOn w:val="1"/>
    <w:next w:val="a1"/>
    <w:uiPriority w:val="39"/>
    <w:unhideWhenUsed/>
    <w:qFormat/>
    <w:pPr>
      <w:keepLines/>
      <w:spacing w:before="480" w:after="0" w:line="276" w:lineRule="auto"/>
      <w:jc w:val="left"/>
      <w:outlineLvl w:val="9"/>
    </w:pPr>
    <w:rPr>
      <w:rFonts w:ascii="Cambria" w:hAnsi="Cambria"/>
      <w:caps w:val="0"/>
      <w:color w:val="365F91"/>
      <w:sz w:val="28"/>
      <w:szCs w:val="28"/>
      <w:lang w:val="ru-RU" w:eastAsia="ru-RU"/>
    </w:rPr>
  </w:style>
  <w:style w:type="paragraph" w:customStyle="1" w:styleId="affffff9">
    <w:name w:val="основной абзац"/>
    <w:basedOn w:val="a1"/>
    <w:uiPriority w:val="99"/>
    <w:qFormat/>
    <w:pPr>
      <w:spacing w:after="57" w:line="288" w:lineRule="auto"/>
      <w:ind w:firstLine="283"/>
      <w:jc w:val="both"/>
    </w:pPr>
    <w:rPr>
      <w:rFonts w:ascii="OfficinaSansBookC" w:hAnsi="OfficinaSansBookC" w:cs="OfficinaSansBookC"/>
      <w:color w:val="000000"/>
      <w:sz w:val="18"/>
      <w:szCs w:val="18"/>
    </w:rPr>
  </w:style>
  <w:style w:type="paragraph" w:customStyle="1" w:styleId="font5">
    <w:name w:val="font5"/>
    <w:basedOn w:val="a1"/>
    <w:qFormat/>
    <w:pPr>
      <w:spacing w:beforeAutospacing="1" w:afterAutospacing="1" w:line="240" w:lineRule="auto"/>
    </w:pPr>
    <w:rPr>
      <w:rFonts w:ascii="Times New Roman" w:eastAsia="Times New Roman" w:hAnsi="Times New Roman" w:cs="Times New Roman"/>
      <w:sz w:val="16"/>
      <w:szCs w:val="16"/>
      <w:lang w:eastAsia="ru-RU"/>
    </w:rPr>
  </w:style>
  <w:style w:type="paragraph" w:customStyle="1" w:styleId="font6">
    <w:name w:val="font6"/>
    <w:basedOn w:val="a1"/>
    <w:qFormat/>
    <w:pPr>
      <w:spacing w:beforeAutospacing="1" w:afterAutospacing="1" w:line="240" w:lineRule="auto"/>
    </w:pPr>
    <w:rPr>
      <w:rFonts w:ascii="Times New Roman" w:eastAsia="Times New Roman" w:hAnsi="Times New Roman" w:cs="Times New Roman"/>
      <w:b/>
      <w:bCs/>
      <w:sz w:val="16"/>
      <w:szCs w:val="16"/>
      <w:lang w:eastAsia="ru-RU"/>
    </w:rPr>
  </w:style>
  <w:style w:type="paragraph" w:customStyle="1" w:styleId="font7">
    <w:name w:val="font7"/>
    <w:basedOn w:val="a1"/>
    <w:qFormat/>
    <w:pPr>
      <w:spacing w:beforeAutospacing="1" w:afterAutospacing="1" w:line="240" w:lineRule="auto"/>
    </w:pPr>
    <w:rPr>
      <w:rFonts w:ascii="Tahoma" w:eastAsia="Times New Roman" w:hAnsi="Tahoma" w:cs="Tahoma"/>
      <w:color w:val="000000"/>
      <w:sz w:val="18"/>
      <w:szCs w:val="18"/>
      <w:lang w:eastAsia="ru-RU"/>
    </w:rPr>
  </w:style>
  <w:style w:type="paragraph" w:customStyle="1" w:styleId="font8">
    <w:name w:val="font8"/>
    <w:basedOn w:val="a1"/>
    <w:qFormat/>
    <w:pPr>
      <w:spacing w:beforeAutospacing="1" w:afterAutospacing="1" w:line="240" w:lineRule="auto"/>
    </w:pPr>
    <w:rPr>
      <w:rFonts w:ascii="Tahoma" w:eastAsia="Times New Roman" w:hAnsi="Tahoma" w:cs="Tahoma"/>
      <w:b/>
      <w:bCs/>
      <w:color w:val="000000"/>
      <w:sz w:val="18"/>
      <w:szCs w:val="18"/>
      <w:lang w:eastAsia="ru-RU"/>
    </w:rPr>
  </w:style>
  <w:style w:type="paragraph" w:customStyle="1" w:styleId="xl65">
    <w:name w:val="xl65"/>
    <w:basedOn w:val="a1"/>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qFormat/>
    <w:pPr>
      <w:pBdr>
        <w:left w:val="single" w:sz="8" w:space="0" w:color="000000"/>
        <w:bottom w:val="single" w:sz="8" w:space="0" w:color="000000"/>
        <w:right w:val="single" w:sz="8" w:space="0" w:color="000000"/>
      </w:pBdr>
      <w:shd w:val="clear" w:color="000000" w:fill="C5D9F1"/>
      <w:spacing w:beforeAutospacing="1" w:afterAutospacing="1" w:line="240" w:lineRule="auto"/>
      <w:jc w:val="center"/>
    </w:pPr>
    <w:rPr>
      <w:rFonts w:ascii="Times New Roman" w:eastAsia="Times New Roman" w:hAnsi="Times New Roman" w:cs="Times New Roman"/>
      <w:b/>
      <w:bCs/>
      <w:sz w:val="16"/>
      <w:szCs w:val="16"/>
      <w:lang w:eastAsia="ru-RU"/>
    </w:rPr>
  </w:style>
  <w:style w:type="paragraph" w:customStyle="1" w:styleId="xl67">
    <w:name w:val="xl67"/>
    <w:basedOn w:val="a1"/>
    <w:qFormat/>
    <w:pPr>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1"/>
    <w:qFormat/>
    <w:pPr>
      <w:pBdr>
        <w:top w:val="single" w:sz="8" w:space="0" w:color="000000"/>
        <w:left w:val="single" w:sz="8" w:space="0" w:color="000000"/>
        <w:bottom w:val="single" w:sz="8" w:space="0" w:color="000000"/>
        <w:right w:val="single" w:sz="8" w:space="0" w:color="000000"/>
      </w:pBdr>
      <w:shd w:val="clear" w:color="000000" w:fill="C5D9F1"/>
      <w:spacing w:beforeAutospacing="1" w:afterAutospacing="1" w:line="240" w:lineRule="auto"/>
      <w:jc w:val="center"/>
    </w:pPr>
    <w:rPr>
      <w:rFonts w:ascii="Times New Roman" w:eastAsia="Times New Roman" w:hAnsi="Times New Roman" w:cs="Times New Roman"/>
      <w:b/>
      <w:bCs/>
      <w:sz w:val="16"/>
      <w:szCs w:val="16"/>
      <w:lang w:eastAsia="ru-RU"/>
    </w:rPr>
  </w:style>
  <w:style w:type="paragraph" w:customStyle="1" w:styleId="xl69">
    <w:name w:val="xl69"/>
    <w:basedOn w:val="a1"/>
    <w:qFormat/>
    <w:pPr>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1"/>
    <w:qFormat/>
    <w:pPr>
      <w:pBdr>
        <w:top w:val="single" w:sz="8" w:space="0" w:color="000000"/>
        <w:left w:val="single" w:sz="8" w:space="0" w:color="000000"/>
        <w:bottom w:val="single" w:sz="8" w:space="0" w:color="000000"/>
      </w:pBdr>
      <w:shd w:val="clear" w:color="000000" w:fill="C5D9F1"/>
      <w:spacing w:beforeAutospacing="1" w:afterAutospacing="1" w:line="240" w:lineRule="auto"/>
      <w:jc w:val="center"/>
    </w:pPr>
    <w:rPr>
      <w:rFonts w:ascii="Times New Roman" w:eastAsia="Times New Roman" w:hAnsi="Times New Roman" w:cs="Times New Roman"/>
      <w:b/>
      <w:bCs/>
      <w:sz w:val="16"/>
      <w:szCs w:val="16"/>
      <w:lang w:eastAsia="ru-RU"/>
    </w:rPr>
  </w:style>
  <w:style w:type="paragraph" w:customStyle="1" w:styleId="xl71">
    <w:name w:val="xl71"/>
    <w:basedOn w:val="a1"/>
    <w:qFormat/>
    <w:pPr>
      <w:pBdr>
        <w:top w:val="single" w:sz="8" w:space="0" w:color="000000"/>
        <w:bottom w:val="single" w:sz="8" w:space="0" w:color="000000"/>
        <w:right w:val="single" w:sz="8" w:space="0" w:color="000000"/>
      </w:pBdr>
      <w:shd w:val="clear" w:color="000000" w:fill="C5D9F1"/>
      <w:spacing w:beforeAutospacing="1" w:afterAutospacing="1" w:line="240" w:lineRule="auto"/>
      <w:jc w:val="center"/>
    </w:pPr>
    <w:rPr>
      <w:rFonts w:ascii="Times New Roman" w:eastAsia="Times New Roman" w:hAnsi="Times New Roman" w:cs="Times New Roman"/>
      <w:b/>
      <w:bCs/>
      <w:sz w:val="16"/>
      <w:szCs w:val="16"/>
      <w:lang w:eastAsia="ru-RU"/>
    </w:rPr>
  </w:style>
  <w:style w:type="paragraph" w:customStyle="1" w:styleId="xl72">
    <w:name w:val="xl72"/>
    <w:basedOn w:val="a1"/>
    <w:qFormat/>
    <w:pPr>
      <w:pBdr>
        <w:left w:val="single" w:sz="8" w:space="0" w:color="000000"/>
        <w:bottom w:val="single" w:sz="8" w:space="0" w:color="000000"/>
        <w:right w:val="single" w:sz="8" w:space="0" w:color="000000"/>
      </w:pBdr>
      <w:shd w:val="clear" w:color="000000" w:fill="FFFFFF"/>
      <w:spacing w:beforeAutospacing="1" w:afterAutospacing="1" w:line="240" w:lineRule="auto"/>
      <w:jc w:val="center"/>
    </w:pPr>
    <w:rPr>
      <w:rFonts w:ascii="Times New Roman" w:eastAsia="Times New Roman" w:hAnsi="Times New Roman" w:cs="Times New Roman"/>
      <w:sz w:val="16"/>
      <w:szCs w:val="16"/>
      <w:lang w:eastAsia="ru-RU"/>
    </w:rPr>
  </w:style>
  <w:style w:type="paragraph" w:customStyle="1" w:styleId="xl73">
    <w:name w:val="xl73"/>
    <w:basedOn w:val="a1"/>
    <w:qFormat/>
    <w:pPr>
      <w:pBdr>
        <w:top w:val="single" w:sz="8" w:space="0" w:color="000000"/>
        <w:left w:val="single" w:sz="8" w:space="0" w:color="000000"/>
        <w:bottom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74">
    <w:name w:val="xl74"/>
    <w:basedOn w:val="a1"/>
    <w:qFormat/>
    <w:pPr>
      <w:pBdr>
        <w:left w:val="single" w:sz="8" w:space="0" w:color="000000"/>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75">
    <w:name w:val="xl75"/>
    <w:basedOn w:val="a1"/>
    <w:qFormat/>
    <w:pPr>
      <w:pBdr>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76">
    <w:name w:val="xl76"/>
    <w:basedOn w:val="a1"/>
    <w:qFormat/>
    <w:pPr>
      <w:pBdr>
        <w:top w:val="single" w:sz="8" w:space="0" w:color="000000"/>
        <w:left w:val="single" w:sz="8" w:space="0" w:color="000000"/>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77">
    <w:name w:val="xl77"/>
    <w:basedOn w:val="a1"/>
    <w:qFormat/>
    <w:pPr>
      <w:pBdr>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78">
    <w:name w:val="xl78"/>
    <w:basedOn w:val="a1"/>
    <w:qFormat/>
    <w:pPr>
      <w:pBdr>
        <w:left w:val="single" w:sz="8" w:space="0" w:color="000000"/>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79">
    <w:name w:val="xl79"/>
    <w:basedOn w:val="a1"/>
    <w:qFormat/>
    <w:pPr>
      <w:pBdr>
        <w:bottom w:val="single" w:sz="8" w:space="0" w:color="000000"/>
        <w:right w:val="single" w:sz="8" w:space="0" w:color="000000"/>
      </w:pBdr>
      <w:shd w:val="clear" w:color="000000" w:fill="FFFFFF"/>
      <w:spacing w:beforeAutospacing="1" w:afterAutospacing="1" w:line="240" w:lineRule="auto"/>
      <w:jc w:val="both"/>
    </w:pPr>
    <w:rPr>
      <w:rFonts w:ascii="Times New Roman" w:eastAsia="Times New Roman" w:hAnsi="Times New Roman" w:cs="Times New Roman"/>
      <w:sz w:val="16"/>
      <w:szCs w:val="16"/>
      <w:lang w:eastAsia="ru-RU"/>
    </w:rPr>
  </w:style>
  <w:style w:type="paragraph" w:customStyle="1" w:styleId="xl80">
    <w:name w:val="xl80"/>
    <w:basedOn w:val="a1"/>
    <w:qFormat/>
    <w:pPr>
      <w:pBdr>
        <w:top w:val="single" w:sz="8" w:space="0" w:color="000000"/>
        <w:left w:val="single" w:sz="8" w:space="0" w:color="000000"/>
        <w:right w:val="single" w:sz="8" w:space="0" w:color="000000"/>
      </w:pBdr>
      <w:shd w:val="clear" w:color="000000" w:fill="FFFFFF"/>
      <w:spacing w:beforeAutospacing="1" w:afterAutospacing="1" w:line="240" w:lineRule="auto"/>
      <w:jc w:val="center"/>
    </w:pPr>
    <w:rPr>
      <w:rFonts w:ascii="Times New Roman" w:eastAsia="Times New Roman" w:hAnsi="Times New Roman" w:cs="Times New Roman"/>
      <w:sz w:val="16"/>
      <w:szCs w:val="16"/>
      <w:lang w:eastAsia="ru-RU"/>
    </w:rPr>
  </w:style>
  <w:style w:type="paragraph" w:customStyle="1" w:styleId="xl81">
    <w:name w:val="xl81"/>
    <w:basedOn w:val="a1"/>
    <w:qFormat/>
    <w:pPr>
      <w:pBdr>
        <w:top w:val="single" w:sz="8" w:space="0" w:color="000000"/>
        <w:lef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82">
    <w:name w:val="xl82"/>
    <w:basedOn w:val="a1"/>
    <w:qFormat/>
    <w:pPr>
      <w:pBdr>
        <w:top w:val="single" w:sz="8" w:space="0" w:color="000000"/>
        <w:left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83">
    <w:name w:val="xl83"/>
    <w:basedOn w:val="a1"/>
    <w:qFormat/>
    <w:pPr>
      <w:pBdr>
        <w:top w:val="single" w:sz="8" w:space="0" w:color="000000"/>
        <w:left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84">
    <w:name w:val="xl84"/>
    <w:basedOn w:val="a1"/>
    <w:qFormat/>
    <w:pPr>
      <w:pBdr>
        <w:top w:val="single" w:sz="8" w:space="0" w:color="000000"/>
        <w:left w:val="single" w:sz="8" w:space="0" w:color="000000"/>
        <w:bottom w:val="single" w:sz="8" w:space="0" w:color="000000"/>
        <w:right w:val="single" w:sz="8" w:space="0" w:color="000000"/>
      </w:pBdr>
      <w:shd w:val="clear" w:color="000000" w:fill="FFFFFF"/>
      <w:spacing w:beforeAutospacing="1" w:afterAutospacing="1" w:line="240" w:lineRule="auto"/>
      <w:jc w:val="center"/>
    </w:pPr>
    <w:rPr>
      <w:rFonts w:ascii="Times New Roman" w:eastAsia="Times New Roman" w:hAnsi="Times New Roman" w:cs="Times New Roman"/>
      <w:sz w:val="16"/>
      <w:szCs w:val="16"/>
      <w:lang w:eastAsia="ru-RU"/>
    </w:rPr>
  </w:style>
  <w:style w:type="paragraph" w:customStyle="1" w:styleId="xl85">
    <w:name w:val="xl85"/>
    <w:basedOn w:val="a1"/>
    <w:qFormat/>
    <w:pPr>
      <w:pBdr>
        <w:top w:val="single" w:sz="8" w:space="0" w:color="000000"/>
        <w:left w:val="single" w:sz="8" w:space="0" w:color="000000"/>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86">
    <w:name w:val="xl86"/>
    <w:basedOn w:val="a1"/>
    <w:qFormat/>
    <w:pPr>
      <w:pBdr>
        <w:top w:val="single" w:sz="8" w:space="0" w:color="000000"/>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87">
    <w:name w:val="xl87"/>
    <w:basedOn w:val="a1"/>
    <w:qFormat/>
    <w:pPr>
      <w:pBdr>
        <w:top w:val="single" w:sz="8" w:space="0" w:color="000000"/>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88">
    <w:name w:val="xl88"/>
    <w:basedOn w:val="a1"/>
    <w:qFormat/>
    <w:pPr>
      <w:pBdr>
        <w:left w:val="single" w:sz="8" w:space="0" w:color="000000"/>
        <w:bottom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89">
    <w:name w:val="xl89"/>
    <w:basedOn w:val="a1"/>
    <w:qFormat/>
    <w:pPr>
      <w:pBdr>
        <w:top w:val="single" w:sz="8" w:space="0" w:color="000000"/>
        <w:bottom w:val="single" w:sz="8" w:space="0" w:color="000000"/>
        <w:right w:val="single" w:sz="8" w:space="0" w:color="000000"/>
      </w:pBdr>
      <w:shd w:val="clear" w:color="000000" w:fill="FFFFFF"/>
      <w:spacing w:beforeAutospacing="1" w:afterAutospacing="1" w:line="240" w:lineRule="auto"/>
      <w:jc w:val="both"/>
    </w:pPr>
    <w:rPr>
      <w:rFonts w:ascii="Times New Roman" w:eastAsia="Times New Roman" w:hAnsi="Times New Roman" w:cs="Times New Roman"/>
      <w:sz w:val="16"/>
      <w:szCs w:val="16"/>
      <w:lang w:eastAsia="ru-RU"/>
    </w:rPr>
  </w:style>
  <w:style w:type="paragraph" w:customStyle="1" w:styleId="xl90">
    <w:name w:val="xl90"/>
    <w:basedOn w:val="a1"/>
    <w:qFormat/>
    <w:pPr>
      <w:pBdr>
        <w:top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91">
    <w:name w:val="xl91"/>
    <w:basedOn w:val="a1"/>
    <w:qFormat/>
    <w:pPr>
      <w:pBdr>
        <w:left w:val="single" w:sz="8" w:space="0" w:color="000000"/>
        <w:right w:val="single" w:sz="8" w:space="0" w:color="000000"/>
      </w:pBdr>
      <w:spacing w:beforeAutospacing="1" w:afterAutospacing="1" w:line="240" w:lineRule="auto"/>
    </w:pPr>
    <w:rPr>
      <w:rFonts w:ascii="Arial" w:eastAsia="Times New Roman" w:hAnsi="Arial" w:cs="Arial"/>
      <w:sz w:val="24"/>
      <w:szCs w:val="24"/>
      <w:lang w:eastAsia="ru-RU"/>
    </w:rPr>
  </w:style>
  <w:style w:type="paragraph" w:customStyle="1" w:styleId="xl92">
    <w:name w:val="xl92"/>
    <w:basedOn w:val="a1"/>
    <w:qFormat/>
    <w:pPr>
      <w:pBdr>
        <w:left w:val="single" w:sz="8" w:space="0" w:color="000000"/>
        <w:right w:val="single" w:sz="8" w:space="0" w:color="000000"/>
      </w:pBdr>
      <w:shd w:val="clear" w:color="000000" w:fill="FFFFFF"/>
      <w:spacing w:beforeAutospacing="1" w:afterAutospacing="1" w:line="240" w:lineRule="auto"/>
    </w:pPr>
    <w:rPr>
      <w:rFonts w:ascii="Arial" w:eastAsia="Times New Roman" w:hAnsi="Arial" w:cs="Arial"/>
      <w:sz w:val="24"/>
      <w:szCs w:val="24"/>
      <w:lang w:eastAsia="ru-RU"/>
    </w:rPr>
  </w:style>
  <w:style w:type="paragraph" w:customStyle="1" w:styleId="xl93">
    <w:name w:val="xl93"/>
    <w:basedOn w:val="a1"/>
    <w:qFormat/>
    <w:pPr>
      <w:pBdr>
        <w:left w:val="single" w:sz="8" w:space="0" w:color="000000"/>
        <w:bottom w:val="single" w:sz="8" w:space="0" w:color="000000"/>
        <w:right w:val="single" w:sz="8" w:space="0" w:color="000000"/>
      </w:pBdr>
      <w:spacing w:beforeAutospacing="1" w:afterAutospacing="1" w:line="240" w:lineRule="auto"/>
    </w:pPr>
    <w:rPr>
      <w:rFonts w:ascii="Arial" w:eastAsia="Times New Roman" w:hAnsi="Arial" w:cs="Arial"/>
      <w:sz w:val="24"/>
      <w:szCs w:val="24"/>
      <w:lang w:eastAsia="ru-RU"/>
    </w:rPr>
  </w:style>
  <w:style w:type="paragraph" w:customStyle="1" w:styleId="xl94">
    <w:name w:val="xl94"/>
    <w:basedOn w:val="a1"/>
    <w:qFormat/>
    <w:pPr>
      <w:pBdr>
        <w:bottom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95">
    <w:name w:val="xl95"/>
    <w:basedOn w:val="a1"/>
    <w:qFormat/>
    <w:pPr>
      <w:pBdr>
        <w:top w:val="single" w:sz="8" w:space="0" w:color="000000"/>
        <w:bottom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xl96">
    <w:name w:val="xl96"/>
    <w:basedOn w:val="a1"/>
    <w:qFormat/>
    <w:pPr>
      <w:pBdr>
        <w:left w:val="single" w:sz="8" w:space="0" w:color="000000"/>
        <w:right w:val="single" w:sz="8" w:space="0" w:color="000000"/>
      </w:pBdr>
      <w:shd w:val="clear" w:color="000000" w:fill="C5D9F1"/>
      <w:spacing w:beforeAutospacing="1" w:afterAutospacing="1" w:line="240" w:lineRule="auto"/>
      <w:jc w:val="center"/>
    </w:pPr>
    <w:rPr>
      <w:rFonts w:ascii="Times New Roman" w:eastAsia="Times New Roman" w:hAnsi="Times New Roman" w:cs="Times New Roman"/>
      <w:b/>
      <w:bCs/>
      <w:sz w:val="16"/>
      <w:szCs w:val="16"/>
      <w:lang w:eastAsia="ru-RU"/>
    </w:rPr>
  </w:style>
  <w:style w:type="paragraph" w:customStyle="1" w:styleId="xl97">
    <w:name w:val="xl97"/>
    <w:basedOn w:val="a1"/>
    <w:qFormat/>
    <w:pPr>
      <w:pBdr>
        <w:top w:val="single" w:sz="8" w:space="0" w:color="000000"/>
        <w:left w:val="single" w:sz="8" w:space="0" w:color="000000"/>
        <w:bottom w:val="single" w:sz="8" w:space="0" w:color="000000"/>
        <w:right w:val="single" w:sz="8" w:space="0" w:color="000000"/>
      </w:pBdr>
      <w:spacing w:beforeAutospacing="1" w:afterAutospacing="1" w:line="240" w:lineRule="auto"/>
    </w:pPr>
    <w:rPr>
      <w:rFonts w:ascii="Arial" w:eastAsia="Times New Roman" w:hAnsi="Arial" w:cs="Arial"/>
      <w:sz w:val="24"/>
      <w:szCs w:val="24"/>
      <w:lang w:eastAsia="ru-RU"/>
    </w:rPr>
  </w:style>
  <w:style w:type="paragraph" w:customStyle="1" w:styleId="xl98">
    <w:name w:val="xl98"/>
    <w:basedOn w:val="a1"/>
    <w:qFormat/>
    <w:pPr>
      <w:pBdr>
        <w:top w:val="single" w:sz="8" w:space="0" w:color="000000"/>
        <w:left w:val="single" w:sz="8" w:space="0" w:color="000000"/>
        <w:bottom w:val="single" w:sz="8" w:space="0" w:color="000000"/>
        <w:right w:val="single" w:sz="8" w:space="0" w:color="000000"/>
      </w:pBdr>
      <w:shd w:val="clear" w:color="000000" w:fill="FFFFFF"/>
      <w:spacing w:beforeAutospacing="1" w:afterAutospacing="1" w:line="240" w:lineRule="auto"/>
    </w:pPr>
    <w:rPr>
      <w:rFonts w:ascii="Arial" w:eastAsia="Times New Roman" w:hAnsi="Arial" w:cs="Arial"/>
      <w:sz w:val="24"/>
      <w:szCs w:val="24"/>
      <w:lang w:eastAsia="ru-RU"/>
    </w:rPr>
  </w:style>
  <w:style w:type="paragraph" w:customStyle="1" w:styleId="xl99">
    <w:name w:val="xl99"/>
    <w:basedOn w:val="a1"/>
    <w:qFormat/>
    <w:pPr>
      <w:pBdr>
        <w:top w:val="single" w:sz="8" w:space="0" w:color="000000"/>
        <w:left w:val="single" w:sz="8" w:space="0" w:color="000000"/>
        <w:bottom w:val="single" w:sz="8" w:space="0" w:color="000000"/>
      </w:pBdr>
      <w:shd w:val="clear" w:color="000000" w:fill="FFFFFF"/>
      <w:spacing w:beforeAutospacing="1" w:afterAutospacing="1" w:line="240" w:lineRule="auto"/>
    </w:pPr>
    <w:rPr>
      <w:rFonts w:ascii="Times New Roman" w:eastAsia="Times New Roman" w:hAnsi="Times New Roman" w:cs="Times New Roman"/>
      <w:b/>
      <w:bCs/>
      <w:sz w:val="16"/>
      <w:szCs w:val="16"/>
      <w:lang w:eastAsia="ru-RU"/>
    </w:rPr>
  </w:style>
  <w:style w:type="paragraph" w:customStyle="1" w:styleId="xl100">
    <w:name w:val="xl100"/>
    <w:basedOn w:val="a1"/>
    <w:qFormat/>
    <w:pPr>
      <w:pBdr>
        <w:left w:val="single" w:sz="8" w:space="0" w:color="000000"/>
        <w:bottom w:val="single" w:sz="8" w:space="0" w:color="000000"/>
        <w:right w:val="single" w:sz="8" w:space="0" w:color="000000"/>
      </w:pBdr>
      <w:shd w:val="clear" w:color="000000" w:fill="FFFFFF"/>
      <w:spacing w:beforeAutospacing="1" w:afterAutospacing="1" w:line="240" w:lineRule="auto"/>
      <w:jc w:val="right"/>
    </w:pPr>
    <w:rPr>
      <w:rFonts w:ascii="Times New Roman" w:eastAsia="Times New Roman" w:hAnsi="Times New Roman" w:cs="Times New Roman"/>
      <w:sz w:val="16"/>
      <w:szCs w:val="16"/>
      <w:lang w:eastAsia="ru-RU"/>
    </w:rPr>
  </w:style>
  <w:style w:type="paragraph" w:customStyle="1" w:styleId="xl101">
    <w:name w:val="xl101"/>
    <w:basedOn w:val="a1"/>
    <w:qFormat/>
    <w:pPr>
      <w:pBdr>
        <w:bottom w:val="single" w:sz="8" w:space="0" w:color="000000"/>
        <w:right w:val="single" w:sz="8" w:space="0" w:color="000000"/>
      </w:pBdr>
      <w:shd w:val="clear" w:color="000000" w:fill="FFFFFF"/>
      <w:spacing w:beforeAutospacing="1" w:afterAutospacing="1" w:line="240" w:lineRule="auto"/>
    </w:pPr>
    <w:rPr>
      <w:rFonts w:ascii="Times New Roman" w:eastAsia="Times New Roman" w:hAnsi="Times New Roman" w:cs="Times New Roman"/>
      <w:sz w:val="16"/>
      <w:szCs w:val="16"/>
      <w:lang w:eastAsia="ru-RU"/>
    </w:rPr>
  </w:style>
  <w:style w:type="paragraph" w:customStyle="1" w:styleId="221">
    <w:name w:val="Основной текст 22"/>
    <w:basedOn w:val="a1"/>
    <w:qFormat/>
    <w:pPr>
      <w:spacing w:after="0" w:line="240" w:lineRule="auto"/>
      <w:ind w:firstLine="709"/>
      <w:jc w:val="center"/>
    </w:pPr>
    <w:rPr>
      <w:rFonts w:ascii="Arial" w:eastAsia="Times New Roman" w:hAnsi="Arial" w:cs="Times New Roman"/>
      <w:b/>
      <w:sz w:val="28"/>
      <w:szCs w:val="20"/>
      <w:lang w:eastAsia="ru-RU"/>
    </w:rPr>
  </w:style>
  <w:style w:type="paragraph" w:customStyle="1" w:styleId="8E798F5E7ECE4128986FE3828CA319D2">
    <w:name w:val="8E798F5E7ECE4128986FE3828CA319D2"/>
    <w:qFormat/>
    <w:pPr>
      <w:spacing w:after="200" w:line="276" w:lineRule="auto"/>
    </w:pPr>
    <w:rPr>
      <w:rFonts w:ascii="Calibri" w:eastAsiaTheme="minorEastAsia" w:hAnsi="Calibri" w:cs="Arial"/>
      <w:lang w:eastAsia="ru-RU"/>
    </w:rPr>
  </w:style>
  <w:style w:type="paragraph" w:customStyle="1" w:styleId="font9">
    <w:name w:val="font9"/>
    <w:basedOn w:val="a1"/>
    <w:qFormat/>
    <w:pPr>
      <w:spacing w:beforeAutospacing="1" w:afterAutospacing="1" w:line="240" w:lineRule="auto"/>
    </w:pPr>
    <w:rPr>
      <w:rFonts w:ascii="Arial Narrow" w:eastAsia="Times New Roman" w:hAnsi="Arial Narrow" w:cs="Times New Roman"/>
      <w:color w:val="000000"/>
      <w:sz w:val="32"/>
      <w:szCs w:val="32"/>
      <w:u w:val="single"/>
      <w:lang w:eastAsia="ru-RU"/>
    </w:rPr>
  </w:style>
  <w:style w:type="paragraph" w:customStyle="1" w:styleId="xl102">
    <w:name w:val="xl102"/>
    <w:basedOn w:val="a1"/>
    <w:qFormat/>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1"/>
    <w:qFormat/>
    <w:pPr>
      <w:pBdr>
        <w:top w:val="single" w:sz="4" w:space="0" w:color="000000"/>
        <w:lef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04">
    <w:name w:val="xl104"/>
    <w:basedOn w:val="a1"/>
    <w:qFormat/>
    <w:pPr>
      <w:pBdr>
        <w:top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05">
    <w:name w:val="xl105"/>
    <w:basedOn w:val="a1"/>
    <w:qFormat/>
    <w:pPr>
      <w:pBdr>
        <w:top w:val="single" w:sz="4" w:space="0" w:color="000000"/>
        <w:righ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06">
    <w:name w:val="xl106"/>
    <w:basedOn w:val="a1"/>
    <w:qFormat/>
    <w:pPr>
      <w:pBdr>
        <w:left w:val="single" w:sz="4" w:space="0" w:color="000000"/>
        <w:bottom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07">
    <w:name w:val="xl107"/>
    <w:basedOn w:val="a1"/>
    <w:qFormat/>
    <w:pPr>
      <w:pBdr>
        <w:bottom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08">
    <w:name w:val="xl108"/>
    <w:basedOn w:val="a1"/>
    <w:qFormat/>
    <w:pPr>
      <w:pBdr>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09">
    <w:name w:val="xl109"/>
    <w:basedOn w:val="a1"/>
    <w:qFormat/>
    <w:pPr>
      <w:pBdr>
        <w:top w:val="single" w:sz="4" w:space="0" w:color="000000"/>
        <w:left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1"/>
    <w:qFormat/>
    <w:pPr>
      <w:pBdr>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1"/>
    <w:qFormat/>
    <w:pPr>
      <w:pBdr>
        <w:top w:val="single" w:sz="4" w:space="0" w:color="000000"/>
        <w:lef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12">
    <w:name w:val="xl112"/>
    <w:basedOn w:val="a1"/>
    <w:qFormat/>
    <w:pPr>
      <w:pBdr>
        <w:top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13">
    <w:name w:val="xl113"/>
    <w:basedOn w:val="a1"/>
    <w:qFormat/>
    <w:pPr>
      <w:pBdr>
        <w:top w:val="single" w:sz="4" w:space="0" w:color="000000"/>
        <w:righ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14">
    <w:name w:val="xl114"/>
    <w:basedOn w:val="a1"/>
    <w:qFormat/>
    <w:pPr>
      <w:pBdr>
        <w:left w:val="single" w:sz="4" w:space="0" w:color="000000"/>
        <w:bottom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15">
    <w:name w:val="xl115"/>
    <w:basedOn w:val="a1"/>
    <w:qFormat/>
    <w:pPr>
      <w:pBdr>
        <w:bottom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16">
    <w:name w:val="xl116"/>
    <w:basedOn w:val="a1"/>
    <w:qFormat/>
    <w:pPr>
      <w:pBdr>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17">
    <w:name w:val="xl117"/>
    <w:basedOn w:val="a1"/>
    <w:qFormat/>
    <w:pPr>
      <w:pBdr>
        <w:top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1"/>
    <w:qFormat/>
    <w:pPr>
      <w:spacing w:beforeAutospacing="1" w:afterAutospacing="1" w:line="240" w:lineRule="auto"/>
    </w:pPr>
    <w:rPr>
      <w:rFonts w:ascii="Arial Narrow" w:eastAsia="Times New Roman" w:hAnsi="Arial Narrow" w:cs="Times New Roman"/>
      <w:sz w:val="32"/>
      <w:szCs w:val="32"/>
      <w:lang w:eastAsia="ru-RU"/>
    </w:rPr>
  </w:style>
  <w:style w:type="paragraph" w:customStyle="1" w:styleId="xl119">
    <w:name w:val="xl119"/>
    <w:basedOn w:val="a1"/>
    <w:qFormat/>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20">
    <w:name w:val="xl120"/>
    <w:basedOn w:val="a1"/>
    <w:qFormat/>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1"/>
    <w:qFormat/>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18"/>
      <w:szCs w:val="18"/>
      <w:lang w:eastAsia="ru-RU"/>
    </w:rPr>
  </w:style>
  <w:style w:type="paragraph" w:customStyle="1" w:styleId="xl122">
    <w:name w:val="xl122"/>
    <w:basedOn w:val="a1"/>
    <w:qFormat/>
    <w:pPr>
      <w:pBdr>
        <w:top w:val="single" w:sz="8" w:space="0" w:color="000000"/>
        <w:left w:val="single" w:sz="8" w:space="0" w:color="000000"/>
        <w:bottom w:val="single" w:sz="8" w:space="0" w:color="000000"/>
      </w:pBdr>
      <w:shd w:val="clear" w:color="000000" w:fill="A9D08E"/>
      <w:spacing w:beforeAutospacing="1" w:afterAutospacing="1" w:line="240" w:lineRule="auto"/>
      <w:jc w:val="center"/>
    </w:pPr>
    <w:rPr>
      <w:rFonts w:ascii="Times New Roman" w:eastAsia="Times New Roman" w:hAnsi="Times New Roman" w:cs="Times New Roman"/>
      <w:b/>
      <w:bCs/>
      <w:sz w:val="16"/>
      <w:szCs w:val="16"/>
      <w:lang w:eastAsia="ru-RU"/>
    </w:rPr>
  </w:style>
  <w:style w:type="paragraph" w:customStyle="1" w:styleId="xl123">
    <w:name w:val="xl123"/>
    <w:basedOn w:val="a1"/>
    <w:qFormat/>
    <w:pPr>
      <w:pBdr>
        <w:top w:val="single" w:sz="8" w:space="0" w:color="000000"/>
        <w:bottom w:val="single" w:sz="8" w:space="0" w:color="000000"/>
        <w:right w:val="single" w:sz="8" w:space="0" w:color="000000"/>
      </w:pBdr>
      <w:shd w:val="clear" w:color="000000" w:fill="A9D08E"/>
      <w:spacing w:beforeAutospacing="1" w:afterAutospacing="1" w:line="240" w:lineRule="auto"/>
      <w:jc w:val="center"/>
    </w:pPr>
    <w:rPr>
      <w:rFonts w:ascii="Times New Roman" w:eastAsia="Times New Roman" w:hAnsi="Times New Roman" w:cs="Times New Roman"/>
      <w:b/>
      <w:bCs/>
      <w:sz w:val="16"/>
      <w:szCs w:val="16"/>
      <w:lang w:eastAsia="ru-RU"/>
    </w:rPr>
  </w:style>
  <w:style w:type="paragraph" w:customStyle="1" w:styleId="2d">
    <w:name w:val="2"/>
    <w:basedOn w:val="a1"/>
    <w:next w:val="affa"/>
    <w:link w:val="afffc"/>
    <w:qFormat/>
    <w:pPr>
      <w:keepNext/>
      <w:spacing w:after="240" w:line="240" w:lineRule="auto"/>
      <w:jc w:val="center"/>
    </w:pPr>
    <w:rPr>
      <w:b/>
      <w:bCs/>
      <w:lang w:val="en-GB"/>
    </w:rPr>
  </w:style>
  <w:style w:type="paragraph" w:customStyle="1" w:styleId="CharChar1">
    <w:name w:val="Char Char1"/>
    <w:basedOn w:val="a1"/>
    <w:qFormat/>
    <w:pPr>
      <w:spacing w:line="240" w:lineRule="exact"/>
    </w:pPr>
    <w:rPr>
      <w:rFonts w:ascii="Verdana" w:eastAsia="Times New Roman" w:hAnsi="Verdana" w:cs="Verdana"/>
      <w:sz w:val="20"/>
      <w:szCs w:val="20"/>
      <w:lang w:val="en-US"/>
    </w:rPr>
  </w:style>
  <w:style w:type="paragraph" w:customStyle="1" w:styleId="1fd">
    <w:name w:val="Знак Знак Знак Знак1"/>
    <w:basedOn w:val="a1"/>
    <w:qFormat/>
    <w:pPr>
      <w:spacing w:line="240" w:lineRule="exact"/>
    </w:pPr>
    <w:rPr>
      <w:rFonts w:ascii="Verdana" w:eastAsia="Times New Roman" w:hAnsi="Verdana" w:cs="Verdana"/>
      <w:sz w:val="20"/>
      <w:szCs w:val="20"/>
      <w:lang w:val="en-US"/>
    </w:rPr>
  </w:style>
  <w:style w:type="paragraph" w:customStyle="1" w:styleId="231">
    <w:name w:val="Основной текст 23"/>
    <w:basedOn w:val="a1"/>
    <w:qFormat/>
    <w:pPr>
      <w:spacing w:after="0" w:line="240" w:lineRule="auto"/>
      <w:ind w:firstLine="709"/>
      <w:jc w:val="center"/>
    </w:pPr>
    <w:rPr>
      <w:rFonts w:ascii="Arial" w:eastAsia="Times New Roman" w:hAnsi="Arial" w:cs="Times New Roman"/>
      <w:b/>
      <w:sz w:val="28"/>
      <w:szCs w:val="20"/>
      <w:lang w:eastAsia="ru-RU"/>
    </w:rPr>
  </w:style>
  <w:style w:type="paragraph" w:customStyle="1" w:styleId="1fe">
    <w:name w:val="Знак1"/>
    <w:basedOn w:val="a1"/>
    <w:qFormat/>
    <w:pPr>
      <w:spacing w:line="240" w:lineRule="exact"/>
    </w:pPr>
    <w:rPr>
      <w:rFonts w:ascii="Verdana" w:eastAsia="Times New Roman" w:hAnsi="Verdana" w:cs="Verdana"/>
      <w:sz w:val="20"/>
      <w:szCs w:val="20"/>
      <w:lang w:val="en-US"/>
    </w:rPr>
  </w:style>
  <w:style w:type="paragraph" w:customStyle="1" w:styleId="CharChar1CharCharCharCharCharCharCharCharCharCharCharCharCharChar1">
    <w:name w:val="Char Char1 Char Char Char Char Char Char Char Char Char Знак Знак Char Char Char Char Char1"/>
    <w:basedOn w:val="a1"/>
    <w:qFormat/>
    <w:pPr>
      <w:spacing w:line="240" w:lineRule="exact"/>
    </w:pPr>
    <w:rPr>
      <w:rFonts w:ascii="Times New Roman" w:eastAsia="Times New Roman" w:hAnsi="Times New Roman" w:cs="Times New Roman"/>
      <w:sz w:val="20"/>
      <w:szCs w:val="20"/>
      <w:lang w:val="en-US" w:eastAsia="zh-CN"/>
    </w:rPr>
  </w:style>
  <w:style w:type="paragraph" w:customStyle="1" w:styleId="Heading2Char21">
    <w:name w:val="Heading 2 Char21"/>
    <w:basedOn w:val="a1"/>
    <w:next w:val="a1"/>
    <w:unhideWhenUsed/>
    <w:qFormat/>
    <w:pPr>
      <w:keepNext/>
      <w:keepLines/>
      <w:spacing w:before="200" w:after="0" w:line="276" w:lineRule="auto"/>
      <w:outlineLvl w:val="1"/>
    </w:pPr>
    <w:rPr>
      <w:rFonts w:ascii="Cambria" w:eastAsia="Times New Roman" w:hAnsi="Cambria" w:cs="Times New Roman"/>
      <w:b/>
      <w:bCs/>
      <w:color w:val="4F81BD"/>
      <w:sz w:val="26"/>
      <w:szCs w:val="26"/>
      <w:lang w:eastAsia="ru-RU"/>
    </w:rPr>
  </w:style>
  <w:style w:type="paragraph" w:customStyle="1" w:styleId="3110">
    <w:name w:val="Заголовок 3 Знак1 Знак Знак Знак Знак1"/>
    <w:basedOn w:val="a1"/>
    <w:next w:val="a1"/>
    <w:unhideWhenUsed/>
    <w:qFormat/>
    <w:pPr>
      <w:keepNext/>
      <w:keepLines/>
      <w:spacing w:before="200" w:after="0" w:line="276" w:lineRule="auto"/>
      <w:outlineLvl w:val="2"/>
    </w:pPr>
    <w:rPr>
      <w:rFonts w:ascii="Cambria" w:eastAsia="Times New Roman" w:hAnsi="Cambria" w:cs="Times New Roman"/>
      <w:b/>
      <w:bCs/>
      <w:color w:val="4F81BD"/>
      <w:lang w:eastAsia="ru-RU"/>
    </w:rPr>
  </w:style>
  <w:style w:type="paragraph" w:customStyle="1" w:styleId="112">
    <w:name w:val="Оглавление ГО 11"/>
    <w:basedOn w:val="a1"/>
    <w:next w:val="a1"/>
    <w:uiPriority w:val="39"/>
    <w:unhideWhenUsed/>
    <w:qFormat/>
    <w:pPr>
      <w:spacing w:before="360" w:after="0" w:line="276" w:lineRule="auto"/>
    </w:pPr>
    <w:rPr>
      <w:rFonts w:ascii="Cambria" w:hAnsi="Cambria"/>
      <w:b/>
      <w:bCs/>
      <w:caps/>
      <w:sz w:val="24"/>
      <w:szCs w:val="24"/>
    </w:rPr>
  </w:style>
  <w:style w:type="paragraph" w:customStyle="1" w:styleId="216">
    <w:name w:val="Оглавление 21"/>
    <w:basedOn w:val="a1"/>
    <w:next w:val="a1"/>
    <w:uiPriority w:val="39"/>
    <w:unhideWhenUsed/>
    <w:qFormat/>
    <w:pPr>
      <w:spacing w:before="240" w:after="0" w:line="276" w:lineRule="auto"/>
    </w:pPr>
    <w:rPr>
      <w:rFonts w:cs="Calibri"/>
      <w:b/>
      <w:bCs/>
      <w:sz w:val="20"/>
      <w:szCs w:val="20"/>
    </w:rPr>
  </w:style>
  <w:style w:type="paragraph" w:customStyle="1" w:styleId="313">
    <w:name w:val="Оглавление 31"/>
    <w:basedOn w:val="a1"/>
    <w:next w:val="a1"/>
    <w:uiPriority w:val="39"/>
    <w:unhideWhenUsed/>
    <w:qFormat/>
    <w:pPr>
      <w:spacing w:after="0" w:line="276" w:lineRule="auto"/>
      <w:ind w:left="220"/>
    </w:pPr>
    <w:rPr>
      <w:rFonts w:cs="Calibri"/>
      <w:sz w:val="20"/>
      <w:szCs w:val="20"/>
    </w:rPr>
  </w:style>
  <w:style w:type="paragraph" w:customStyle="1" w:styleId="410">
    <w:name w:val="Оглавление 41"/>
    <w:basedOn w:val="a1"/>
    <w:next w:val="a1"/>
    <w:uiPriority w:val="39"/>
    <w:unhideWhenUsed/>
    <w:qFormat/>
    <w:pPr>
      <w:spacing w:after="0" w:line="276" w:lineRule="auto"/>
      <w:ind w:left="440"/>
    </w:pPr>
    <w:rPr>
      <w:rFonts w:cs="Calibri"/>
      <w:sz w:val="20"/>
      <w:szCs w:val="20"/>
    </w:rPr>
  </w:style>
  <w:style w:type="paragraph" w:customStyle="1" w:styleId="511">
    <w:name w:val="Оглавление 51"/>
    <w:basedOn w:val="a1"/>
    <w:next w:val="a1"/>
    <w:uiPriority w:val="39"/>
    <w:unhideWhenUsed/>
    <w:qFormat/>
    <w:pPr>
      <w:spacing w:after="0" w:line="276" w:lineRule="auto"/>
      <w:ind w:left="660"/>
    </w:pPr>
    <w:rPr>
      <w:rFonts w:cs="Calibri"/>
      <w:sz w:val="20"/>
      <w:szCs w:val="20"/>
    </w:rPr>
  </w:style>
  <w:style w:type="paragraph" w:customStyle="1" w:styleId="610">
    <w:name w:val="Оглавление 61"/>
    <w:basedOn w:val="a1"/>
    <w:next w:val="a1"/>
    <w:uiPriority w:val="39"/>
    <w:unhideWhenUsed/>
    <w:qFormat/>
    <w:pPr>
      <w:spacing w:after="0" w:line="276" w:lineRule="auto"/>
      <w:ind w:left="880"/>
    </w:pPr>
    <w:rPr>
      <w:rFonts w:cs="Calibri"/>
      <w:sz w:val="20"/>
      <w:szCs w:val="20"/>
    </w:rPr>
  </w:style>
  <w:style w:type="paragraph" w:customStyle="1" w:styleId="711">
    <w:name w:val="Оглавление 71"/>
    <w:basedOn w:val="a1"/>
    <w:next w:val="a1"/>
    <w:uiPriority w:val="39"/>
    <w:unhideWhenUsed/>
    <w:qFormat/>
    <w:pPr>
      <w:spacing w:after="0" w:line="276" w:lineRule="auto"/>
      <w:ind w:left="1100"/>
    </w:pPr>
    <w:rPr>
      <w:rFonts w:cs="Calibri"/>
      <w:sz w:val="20"/>
      <w:szCs w:val="20"/>
    </w:rPr>
  </w:style>
  <w:style w:type="paragraph" w:customStyle="1" w:styleId="810">
    <w:name w:val="Оглавление 81"/>
    <w:basedOn w:val="a1"/>
    <w:next w:val="a1"/>
    <w:uiPriority w:val="39"/>
    <w:unhideWhenUsed/>
    <w:qFormat/>
    <w:pPr>
      <w:spacing w:after="0" w:line="276" w:lineRule="auto"/>
      <w:ind w:left="1320"/>
    </w:pPr>
    <w:rPr>
      <w:rFonts w:cs="Calibri"/>
      <w:sz w:val="20"/>
      <w:szCs w:val="20"/>
    </w:rPr>
  </w:style>
  <w:style w:type="paragraph" w:customStyle="1" w:styleId="910">
    <w:name w:val="Оглавление 91"/>
    <w:basedOn w:val="a1"/>
    <w:next w:val="a1"/>
    <w:uiPriority w:val="39"/>
    <w:unhideWhenUsed/>
    <w:qFormat/>
    <w:pPr>
      <w:spacing w:after="0" w:line="276" w:lineRule="auto"/>
      <w:ind w:left="1540"/>
    </w:pPr>
    <w:rPr>
      <w:rFonts w:cs="Calibri"/>
      <w:sz w:val="20"/>
      <w:szCs w:val="20"/>
    </w:rPr>
  </w:style>
  <w:style w:type="paragraph" w:customStyle="1" w:styleId="-41">
    <w:name w:val="Пункт-4"/>
    <w:basedOn w:val="a1"/>
    <w:qFormat/>
    <w:pPr>
      <w:tabs>
        <w:tab w:val="left" w:pos="2411"/>
      </w:tabs>
      <w:spacing w:after="0" w:line="240" w:lineRule="auto"/>
      <w:ind w:left="993"/>
      <w:jc w:val="both"/>
    </w:pPr>
    <w:rPr>
      <w:rFonts w:ascii="Times New Roman" w:eastAsiaTheme="minorEastAsia" w:hAnsi="Times New Roman" w:cs="Times New Roman"/>
      <w:sz w:val="28"/>
      <w:szCs w:val="20"/>
      <w:lang w:eastAsia="ru-RU"/>
    </w:rPr>
  </w:style>
  <w:style w:type="paragraph" w:customStyle="1" w:styleId="Style20">
    <w:name w:val="Style20"/>
    <w:basedOn w:val="a1"/>
    <w:uiPriority w:val="99"/>
    <w:qFormat/>
    <w:pPr>
      <w:widowControl w:val="0"/>
      <w:spacing w:after="0" w:line="276" w:lineRule="exact"/>
      <w:ind w:firstLine="725"/>
    </w:pPr>
    <w:rPr>
      <w:rFonts w:ascii="Times New Roman" w:eastAsia="Times New Roman" w:hAnsi="Times New Roman" w:cs="Times New Roman"/>
      <w:sz w:val="24"/>
      <w:szCs w:val="24"/>
      <w:lang w:eastAsia="ru-RU"/>
    </w:rPr>
  </w:style>
  <w:style w:type="paragraph" w:customStyle="1" w:styleId="48">
    <w:name w:val="4"/>
    <w:basedOn w:val="a1"/>
    <w:next w:val="affa"/>
    <w:qFormat/>
    <w:pPr>
      <w:keepNext/>
      <w:spacing w:after="240" w:line="240" w:lineRule="auto"/>
      <w:jc w:val="center"/>
    </w:pPr>
    <w:rPr>
      <w:rFonts w:ascii="Times New Roman" w:eastAsia="Times New Roman" w:hAnsi="Times New Roman" w:cs="Times New Roman"/>
      <w:b/>
      <w:bCs/>
      <w:sz w:val="20"/>
      <w:szCs w:val="20"/>
      <w:lang w:val="en-GB"/>
    </w:rPr>
  </w:style>
  <w:style w:type="paragraph" w:customStyle="1" w:styleId="CharChar3">
    <w:name w:val="Char Char3"/>
    <w:basedOn w:val="a1"/>
    <w:qFormat/>
    <w:pPr>
      <w:spacing w:line="240" w:lineRule="exact"/>
    </w:pPr>
    <w:rPr>
      <w:rFonts w:ascii="Verdana" w:eastAsia="Times New Roman" w:hAnsi="Verdana" w:cs="Verdana"/>
      <w:sz w:val="20"/>
      <w:szCs w:val="20"/>
      <w:lang w:val="en-US"/>
    </w:rPr>
  </w:style>
  <w:style w:type="paragraph" w:customStyle="1" w:styleId="3e">
    <w:name w:val="Знак Знак Знак Знак3"/>
    <w:basedOn w:val="a1"/>
    <w:qFormat/>
    <w:pPr>
      <w:spacing w:line="240" w:lineRule="exact"/>
    </w:pPr>
    <w:rPr>
      <w:rFonts w:ascii="Verdana" w:eastAsia="Times New Roman" w:hAnsi="Verdana" w:cs="Verdana"/>
      <w:sz w:val="20"/>
      <w:szCs w:val="20"/>
      <w:lang w:val="en-US"/>
    </w:rPr>
  </w:style>
  <w:style w:type="paragraph" w:customStyle="1" w:styleId="240">
    <w:name w:val="Основной текст 24"/>
    <w:basedOn w:val="a1"/>
    <w:qFormat/>
    <w:pPr>
      <w:spacing w:after="0" w:line="240" w:lineRule="auto"/>
      <w:ind w:firstLine="709"/>
      <w:jc w:val="center"/>
    </w:pPr>
    <w:rPr>
      <w:rFonts w:ascii="Arial" w:eastAsia="Times New Roman" w:hAnsi="Arial" w:cs="Times New Roman"/>
      <w:b/>
      <w:sz w:val="28"/>
      <w:szCs w:val="20"/>
      <w:lang w:eastAsia="ru-RU"/>
    </w:rPr>
  </w:style>
  <w:style w:type="paragraph" w:customStyle="1" w:styleId="3f">
    <w:name w:val="Знак3"/>
    <w:basedOn w:val="a1"/>
    <w:qFormat/>
    <w:pPr>
      <w:spacing w:line="240" w:lineRule="exact"/>
    </w:pPr>
    <w:rPr>
      <w:rFonts w:ascii="Verdana" w:eastAsia="Times New Roman" w:hAnsi="Verdana" w:cs="Verdana"/>
      <w:sz w:val="20"/>
      <w:szCs w:val="20"/>
      <w:lang w:val="en-US"/>
    </w:rPr>
  </w:style>
  <w:style w:type="paragraph" w:customStyle="1" w:styleId="CharChar1CharCharCharCharCharCharCharCharCharCharCharCharCharChar3">
    <w:name w:val="Char Char1 Char Char Char Char Char Char Char Char Char Знак Знак Char Char Char Char Char3"/>
    <w:basedOn w:val="a1"/>
    <w:qFormat/>
    <w:pPr>
      <w:spacing w:line="240" w:lineRule="exact"/>
    </w:pPr>
    <w:rPr>
      <w:rFonts w:ascii="Times New Roman" w:eastAsia="Times New Roman" w:hAnsi="Times New Roman" w:cs="Times New Roman"/>
      <w:sz w:val="20"/>
      <w:szCs w:val="20"/>
      <w:lang w:val="en-US" w:eastAsia="zh-CN"/>
    </w:rPr>
  </w:style>
  <w:style w:type="paragraph" w:customStyle="1" w:styleId="250">
    <w:name w:val="Основной текст 25"/>
    <w:basedOn w:val="a1"/>
    <w:qFormat/>
    <w:pPr>
      <w:spacing w:after="0" w:line="240" w:lineRule="auto"/>
      <w:ind w:firstLine="709"/>
      <w:jc w:val="center"/>
    </w:pPr>
    <w:rPr>
      <w:rFonts w:ascii="Arial" w:eastAsia="Times New Roman" w:hAnsi="Arial" w:cs="Times New Roman"/>
      <w:b/>
      <w:sz w:val="28"/>
      <w:szCs w:val="20"/>
      <w:lang w:eastAsia="ru-RU"/>
    </w:rPr>
  </w:style>
  <w:style w:type="paragraph" w:customStyle="1" w:styleId="Pa6">
    <w:name w:val="Pa6"/>
    <w:basedOn w:val="Default"/>
    <w:next w:val="Default"/>
    <w:uiPriority w:val="99"/>
    <w:qFormat/>
    <w:pPr>
      <w:spacing w:line="161" w:lineRule="atLeast"/>
    </w:pPr>
    <w:rPr>
      <w:rFonts w:ascii="HeliosLightC" w:eastAsiaTheme="minorHAnsi" w:hAnsi="HeliosLightC" w:cstheme="minorBidi"/>
      <w:color w:val="auto"/>
      <w:lang w:val="ru-RU"/>
    </w:rPr>
  </w:style>
  <w:style w:type="paragraph" w:customStyle="1" w:styleId="Pa8">
    <w:name w:val="Pa8"/>
    <w:basedOn w:val="a1"/>
    <w:uiPriority w:val="99"/>
    <w:qFormat/>
    <w:pPr>
      <w:spacing w:after="0" w:line="161" w:lineRule="atLeast"/>
    </w:pPr>
    <w:rPr>
      <w:rFonts w:ascii="HeliosC" w:hAnsi="HeliosC" w:cs="Times New Roman"/>
      <w:sz w:val="24"/>
      <w:szCs w:val="24"/>
    </w:rPr>
  </w:style>
  <w:style w:type="paragraph" w:customStyle="1" w:styleId="text0">
    <w:name w:val="text Знак"/>
    <w:basedOn w:val="aff6"/>
    <w:link w:val="text"/>
    <w:qFormat/>
    <w:pPr>
      <w:spacing w:after="0"/>
      <w:ind w:left="0" w:firstLine="709"/>
      <w:jc w:val="both"/>
    </w:pPr>
    <w:rPr>
      <w:rFonts w:ascii="Times New Roman" w:eastAsia="Times New Roman" w:hAnsi="Times New Roman" w:cs="Times New Roman"/>
    </w:rPr>
  </w:style>
  <w:style w:type="paragraph" w:customStyle="1" w:styleId="m2868417714793447671msolistparagraph">
    <w:name w:val="m_2868417714793447671msolistparagraph"/>
    <w:basedOn w:val="a1"/>
    <w:qFormat/>
    <w:pPr>
      <w:spacing w:beforeAutospacing="1" w:afterAutospacing="1" w:line="240" w:lineRule="auto"/>
    </w:pPr>
    <w:rPr>
      <w:rFonts w:ascii="Calibri" w:hAnsi="Calibri" w:cs="Calibri"/>
      <w:lang w:eastAsia="ru-RU"/>
    </w:rPr>
  </w:style>
  <w:style w:type="paragraph" w:customStyle="1" w:styleId="m-107641197118391711msolistparagraph">
    <w:name w:val="m_-107641197118391711msolistparagraph"/>
    <w:basedOn w:val="a1"/>
    <w:qFormat/>
    <w:pPr>
      <w:spacing w:beforeAutospacing="1" w:afterAutospacing="1" w:line="240" w:lineRule="auto"/>
    </w:pPr>
    <w:rPr>
      <w:rFonts w:ascii="Calibri" w:hAnsi="Calibri" w:cs="Calibri"/>
      <w:lang w:eastAsia="ru-RU"/>
    </w:rPr>
  </w:style>
  <w:style w:type="paragraph" w:customStyle="1" w:styleId="3f0">
    <w:name w:val="3"/>
    <w:basedOn w:val="a1"/>
    <w:next w:val="affa"/>
    <w:qFormat/>
    <w:pPr>
      <w:keepNext/>
      <w:spacing w:after="240" w:line="240" w:lineRule="auto"/>
      <w:jc w:val="center"/>
    </w:pPr>
    <w:rPr>
      <w:rFonts w:ascii="Times New Roman" w:eastAsia="Times New Roman" w:hAnsi="Times New Roman" w:cs="Times New Roman"/>
      <w:b/>
      <w:bCs/>
      <w:sz w:val="20"/>
      <w:szCs w:val="20"/>
      <w:lang w:val="en-GB"/>
    </w:rPr>
  </w:style>
  <w:style w:type="paragraph" w:customStyle="1" w:styleId="CharChar2">
    <w:name w:val="Char Char2"/>
    <w:basedOn w:val="a1"/>
    <w:qFormat/>
    <w:pPr>
      <w:spacing w:line="240" w:lineRule="exact"/>
    </w:pPr>
    <w:rPr>
      <w:rFonts w:ascii="Verdana" w:eastAsia="Times New Roman" w:hAnsi="Verdana" w:cs="Verdana"/>
      <w:sz w:val="20"/>
      <w:szCs w:val="20"/>
      <w:lang w:val="en-US"/>
    </w:rPr>
  </w:style>
  <w:style w:type="paragraph" w:customStyle="1" w:styleId="2f2">
    <w:name w:val="Знак Знак Знак Знак2"/>
    <w:basedOn w:val="a1"/>
    <w:qFormat/>
    <w:pPr>
      <w:spacing w:line="240" w:lineRule="exact"/>
    </w:pPr>
    <w:rPr>
      <w:rFonts w:ascii="Verdana" w:eastAsia="Times New Roman" w:hAnsi="Verdana" w:cs="Verdana"/>
      <w:sz w:val="20"/>
      <w:szCs w:val="20"/>
      <w:lang w:val="en-US"/>
    </w:rPr>
  </w:style>
  <w:style w:type="paragraph" w:customStyle="1" w:styleId="260">
    <w:name w:val="Основной текст 26"/>
    <w:basedOn w:val="a1"/>
    <w:qFormat/>
    <w:pPr>
      <w:spacing w:after="0" w:line="240" w:lineRule="auto"/>
      <w:ind w:firstLine="709"/>
      <w:jc w:val="center"/>
    </w:pPr>
    <w:rPr>
      <w:rFonts w:ascii="Arial" w:eastAsia="Times New Roman" w:hAnsi="Arial" w:cs="Times New Roman"/>
      <w:b/>
      <w:sz w:val="28"/>
      <w:szCs w:val="20"/>
      <w:lang w:eastAsia="ru-RU"/>
    </w:rPr>
  </w:style>
  <w:style w:type="paragraph" w:customStyle="1" w:styleId="2f3">
    <w:name w:val="Знак2"/>
    <w:basedOn w:val="a1"/>
    <w:qFormat/>
    <w:pPr>
      <w:spacing w:line="240" w:lineRule="exact"/>
    </w:pPr>
    <w:rPr>
      <w:rFonts w:ascii="Verdana" w:eastAsia="Times New Roman" w:hAnsi="Verdana" w:cs="Verdana"/>
      <w:sz w:val="20"/>
      <w:szCs w:val="20"/>
      <w:lang w:val="en-US"/>
    </w:rPr>
  </w:style>
  <w:style w:type="paragraph" w:customStyle="1" w:styleId="CharChar1CharCharCharCharCharCharCharCharCharCharCharCharCharChar2">
    <w:name w:val="Char Char1 Char Char Char Char Char Char Char Char Char Знак Знак Char Char Char Char Char2"/>
    <w:basedOn w:val="a1"/>
    <w:qFormat/>
    <w:pPr>
      <w:spacing w:line="240" w:lineRule="exact"/>
    </w:pPr>
    <w:rPr>
      <w:rFonts w:ascii="Times New Roman" w:eastAsia="Times New Roman" w:hAnsi="Times New Roman" w:cs="Times New Roman"/>
      <w:sz w:val="20"/>
      <w:szCs w:val="20"/>
      <w:lang w:val="en-US" w:eastAsia="zh-CN"/>
    </w:rPr>
  </w:style>
  <w:style w:type="paragraph" w:customStyle="1" w:styleId="121">
    <w:name w:val="Знак12"/>
    <w:basedOn w:val="a1"/>
    <w:uiPriority w:val="99"/>
    <w:qFormat/>
    <w:pPr>
      <w:tabs>
        <w:tab w:val="left" w:pos="1069"/>
      </w:tabs>
      <w:spacing w:line="240" w:lineRule="exact"/>
      <w:ind w:left="1069" w:hanging="360"/>
      <w:jc w:val="both"/>
    </w:pPr>
    <w:rPr>
      <w:rFonts w:ascii="Verdana" w:eastAsia="Times New Roman" w:hAnsi="Verdana" w:cs="Arial"/>
      <w:sz w:val="20"/>
      <w:szCs w:val="20"/>
      <w:lang w:val="en-US"/>
    </w:rPr>
  </w:style>
  <w:style w:type="paragraph" w:customStyle="1" w:styleId="113">
    <w:name w:val="Знак11"/>
    <w:basedOn w:val="a1"/>
    <w:uiPriority w:val="99"/>
    <w:qFormat/>
    <w:pPr>
      <w:tabs>
        <w:tab w:val="left" w:pos="1069"/>
      </w:tabs>
      <w:spacing w:line="240" w:lineRule="exact"/>
      <w:ind w:left="1069" w:hanging="360"/>
      <w:jc w:val="both"/>
    </w:pPr>
    <w:rPr>
      <w:rFonts w:ascii="Verdana" w:eastAsia="Times New Roman" w:hAnsi="Verdana" w:cs="Arial"/>
      <w:sz w:val="20"/>
      <w:szCs w:val="20"/>
      <w:lang w:val="en-US"/>
    </w:rPr>
  </w:style>
  <w:style w:type="paragraph" w:customStyle="1" w:styleId="affffffa">
    <w:name w:val="Основной"/>
    <w:basedOn w:val="a1"/>
    <w:qFormat/>
    <w:pPr>
      <w:spacing w:before="120" w:after="0" w:line="264" w:lineRule="auto"/>
      <w:ind w:firstLine="567"/>
      <w:jc w:val="both"/>
    </w:pPr>
    <w:rPr>
      <w:rFonts w:ascii="Arial" w:eastAsia="Times New Roman" w:hAnsi="Arial" w:cs="Arial"/>
      <w:color w:val="000000"/>
      <w:sz w:val="24"/>
      <w:szCs w:val="28"/>
      <w:lang w:eastAsia="ru-RU"/>
    </w:rPr>
  </w:style>
  <w:style w:type="paragraph" w:customStyle="1" w:styleId="1ff">
    <w:name w:val="Глава 1"/>
    <w:basedOn w:val="a1"/>
    <w:next w:val="af2"/>
    <w:uiPriority w:val="34"/>
    <w:qFormat/>
    <w:pPr>
      <w:spacing w:after="200" w:line="276" w:lineRule="auto"/>
      <w:ind w:left="720"/>
      <w:contextualSpacing/>
    </w:pPr>
  </w:style>
  <w:style w:type="paragraph" w:customStyle="1" w:styleId="1ff0">
    <w:name w:val="Текст примечания1"/>
    <w:basedOn w:val="a1"/>
    <w:next w:val="af5"/>
    <w:uiPriority w:val="99"/>
    <w:unhideWhenUsed/>
    <w:qFormat/>
    <w:pPr>
      <w:spacing w:after="200" w:line="240" w:lineRule="auto"/>
    </w:pPr>
    <w:rPr>
      <w:sz w:val="20"/>
      <w:szCs w:val="20"/>
    </w:rPr>
  </w:style>
  <w:style w:type="paragraph" w:customStyle="1" w:styleId="1ff1">
    <w:name w:val="Тема примечания1"/>
    <w:basedOn w:val="af5"/>
    <w:next w:val="af5"/>
    <w:unhideWhenUsed/>
    <w:qFormat/>
    <w:pPr>
      <w:spacing w:after="200"/>
    </w:pPr>
    <w:rPr>
      <w:b/>
      <w:bCs/>
    </w:rPr>
  </w:style>
  <w:style w:type="paragraph" w:customStyle="1" w:styleId="1ff2">
    <w:name w:val="Текст выноски1"/>
    <w:basedOn w:val="a1"/>
    <w:next w:val="afff4"/>
    <w:unhideWhenUsed/>
    <w:qFormat/>
    <w:pPr>
      <w:spacing w:after="0" w:line="240" w:lineRule="auto"/>
    </w:pPr>
    <w:rPr>
      <w:rFonts w:ascii="Tahoma" w:hAnsi="Tahoma" w:cs="Tahoma"/>
      <w:sz w:val="16"/>
      <w:szCs w:val="16"/>
    </w:rPr>
  </w:style>
  <w:style w:type="paragraph" w:customStyle="1" w:styleId="ConsPlusTitlePage">
    <w:name w:val="ConsPlusTitlePage"/>
    <w:qFormat/>
    <w:pPr>
      <w:widowControl w:val="0"/>
    </w:pPr>
    <w:rPr>
      <w:rFonts w:ascii="Tahoma" w:eastAsia="Times New Roman" w:hAnsi="Tahoma" w:cs="Tahoma"/>
      <w:sz w:val="20"/>
      <w:szCs w:val="20"/>
      <w:lang w:eastAsia="ru-RU"/>
    </w:rPr>
  </w:style>
  <w:style w:type="paragraph" w:customStyle="1" w:styleId="font10">
    <w:name w:val="font10"/>
    <w:basedOn w:val="a1"/>
    <w:qFormat/>
    <w:pPr>
      <w:spacing w:beforeAutospacing="1" w:afterAutospacing="1" w:line="240" w:lineRule="auto"/>
    </w:pPr>
    <w:rPr>
      <w:rFonts w:ascii="Times New Roman" w:eastAsia="Times New Roman" w:hAnsi="Times New Roman" w:cs="Times New Roman"/>
      <w:sz w:val="18"/>
      <w:szCs w:val="18"/>
      <w:lang w:eastAsia="ru-RU"/>
    </w:rPr>
  </w:style>
  <w:style w:type="paragraph" w:customStyle="1" w:styleId="131">
    <w:name w:val="Заголовок 13"/>
    <w:basedOn w:val="a1"/>
    <w:qFormat/>
    <w:pPr>
      <w:keepNext/>
      <w:spacing w:before="40" w:after="120" w:line="240" w:lineRule="auto"/>
      <w:jc w:val="center"/>
    </w:pPr>
    <w:rPr>
      <w:rFonts w:ascii="Times New Roman" w:eastAsia="Times New Roman" w:hAnsi="Times New Roman" w:cs="Times New Roman"/>
      <w:b/>
      <w:bCs/>
      <w:color w:val="000000"/>
      <w:sz w:val="21"/>
      <w:szCs w:val="21"/>
      <w:lang w:val="en-GB"/>
    </w:rPr>
  </w:style>
  <w:style w:type="paragraph" w:customStyle="1" w:styleId="affffffb">
    <w:name w:val="Содержимое врезки"/>
    <w:basedOn w:val="a1"/>
    <w:qFormat/>
  </w:style>
  <w:style w:type="numbering" w:customStyle="1" w:styleId="1ff3">
    <w:name w:val="Нет списка1"/>
    <w:uiPriority w:val="99"/>
    <w:semiHidden/>
    <w:unhideWhenUsed/>
    <w:qFormat/>
  </w:style>
  <w:style w:type="numbering" w:customStyle="1" w:styleId="2f4">
    <w:name w:val="Нет списка2"/>
    <w:uiPriority w:val="99"/>
    <w:semiHidden/>
    <w:unhideWhenUsed/>
    <w:qFormat/>
  </w:style>
  <w:style w:type="numbering" w:customStyle="1" w:styleId="114">
    <w:name w:val="Нет списка11"/>
    <w:uiPriority w:val="99"/>
    <w:semiHidden/>
    <w:unhideWhenUsed/>
    <w:qFormat/>
  </w:style>
  <w:style w:type="numbering" w:customStyle="1" w:styleId="3f1">
    <w:name w:val="Нет списка3"/>
    <w:uiPriority w:val="99"/>
    <w:semiHidden/>
    <w:unhideWhenUsed/>
    <w:qFormat/>
  </w:style>
  <w:style w:type="numbering" w:customStyle="1" w:styleId="122">
    <w:name w:val="Нет списка12"/>
    <w:uiPriority w:val="99"/>
    <w:semiHidden/>
    <w:unhideWhenUsed/>
    <w:qFormat/>
  </w:style>
  <w:style w:type="numbering" w:customStyle="1" w:styleId="217">
    <w:name w:val="Нет списка21"/>
    <w:uiPriority w:val="99"/>
    <w:semiHidden/>
    <w:unhideWhenUsed/>
    <w:qFormat/>
  </w:style>
  <w:style w:type="numbering" w:customStyle="1" w:styleId="1111">
    <w:name w:val="Нет списка111"/>
    <w:uiPriority w:val="99"/>
    <w:semiHidden/>
    <w:unhideWhenUsed/>
    <w:qFormat/>
  </w:style>
  <w:style w:type="numbering" w:customStyle="1" w:styleId="49">
    <w:name w:val="Нет списка4"/>
    <w:uiPriority w:val="99"/>
    <w:semiHidden/>
    <w:unhideWhenUsed/>
    <w:qFormat/>
  </w:style>
  <w:style w:type="numbering" w:customStyle="1" w:styleId="132">
    <w:name w:val="Нет списка13"/>
    <w:uiPriority w:val="99"/>
    <w:semiHidden/>
    <w:unhideWhenUsed/>
    <w:qFormat/>
  </w:style>
  <w:style w:type="numbering" w:customStyle="1" w:styleId="222">
    <w:name w:val="Нет списка22"/>
    <w:uiPriority w:val="99"/>
    <w:semiHidden/>
    <w:unhideWhenUsed/>
    <w:qFormat/>
  </w:style>
  <w:style w:type="numbering" w:customStyle="1" w:styleId="1120">
    <w:name w:val="Нет списка112"/>
    <w:uiPriority w:val="99"/>
    <w:semiHidden/>
    <w:unhideWhenUsed/>
    <w:qFormat/>
  </w:style>
  <w:style w:type="numbering" w:customStyle="1" w:styleId="314">
    <w:name w:val="Нет списка31"/>
    <w:uiPriority w:val="99"/>
    <w:semiHidden/>
    <w:unhideWhenUsed/>
    <w:qFormat/>
  </w:style>
  <w:style w:type="numbering" w:customStyle="1" w:styleId="1210">
    <w:name w:val="Нет списка121"/>
    <w:uiPriority w:val="99"/>
    <w:semiHidden/>
    <w:unhideWhenUsed/>
    <w:qFormat/>
  </w:style>
  <w:style w:type="numbering" w:customStyle="1" w:styleId="2110">
    <w:name w:val="Нет списка211"/>
    <w:uiPriority w:val="99"/>
    <w:semiHidden/>
    <w:unhideWhenUsed/>
    <w:qFormat/>
  </w:style>
  <w:style w:type="numbering" w:customStyle="1" w:styleId="11110">
    <w:name w:val="Нет списка1111"/>
    <w:uiPriority w:val="99"/>
    <w:semiHidden/>
    <w:unhideWhenUsed/>
    <w:qFormat/>
  </w:style>
  <w:style w:type="numbering" w:customStyle="1" w:styleId="58">
    <w:name w:val="Нет списка5"/>
    <w:uiPriority w:val="99"/>
    <w:semiHidden/>
    <w:unhideWhenUsed/>
    <w:qFormat/>
  </w:style>
  <w:style w:type="numbering" w:customStyle="1" w:styleId="140">
    <w:name w:val="Нет списка14"/>
    <w:uiPriority w:val="99"/>
    <w:semiHidden/>
    <w:unhideWhenUsed/>
    <w:qFormat/>
  </w:style>
  <w:style w:type="numbering" w:customStyle="1" w:styleId="232">
    <w:name w:val="Нет списка23"/>
    <w:uiPriority w:val="99"/>
    <w:semiHidden/>
    <w:unhideWhenUsed/>
    <w:qFormat/>
  </w:style>
  <w:style w:type="numbering" w:customStyle="1" w:styleId="1130">
    <w:name w:val="Нет списка113"/>
    <w:uiPriority w:val="99"/>
    <w:semiHidden/>
    <w:unhideWhenUsed/>
    <w:qFormat/>
  </w:style>
  <w:style w:type="numbering" w:customStyle="1" w:styleId="320">
    <w:name w:val="Нет списка32"/>
    <w:uiPriority w:val="99"/>
    <w:semiHidden/>
    <w:unhideWhenUsed/>
    <w:qFormat/>
  </w:style>
  <w:style w:type="numbering" w:customStyle="1" w:styleId="1220">
    <w:name w:val="Нет списка122"/>
    <w:uiPriority w:val="99"/>
    <w:semiHidden/>
    <w:unhideWhenUsed/>
    <w:qFormat/>
  </w:style>
  <w:style w:type="numbering" w:customStyle="1" w:styleId="2120">
    <w:name w:val="Нет списка212"/>
    <w:uiPriority w:val="99"/>
    <w:semiHidden/>
    <w:unhideWhenUsed/>
    <w:qFormat/>
  </w:style>
  <w:style w:type="numbering" w:customStyle="1" w:styleId="1112">
    <w:name w:val="Нет списка1112"/>
    <w:uiPriority w:val="99"/>
    <w:semiHidden/>
    <w:unhideWhenUsed/>
    <w:qFormat/>
  </w:style>
  <w:style w:type="numbering" w:customStyle="1" w:styleId="411">
    <w:name w:val="Нет списка41"/>
    <w:uiPriority w:val="99"/>
    <w:semiHidden/>
    <w:unhideWhenUsed/>
    <w:qFormat/>
  </w:style>
  <w:style w:type="numbering" w:customStyle="1" w:styleId="1310">
    <w:name w:val="Нет списка131"/>
    <w:uiPriority w:val="99"/>
    <w:semiHidden/>
    <w:unhideWhenUsed/>
    <w:qFormat/>
  </w:style>
  <w:style w:type="numbering" w:customStyle="1" w:styleId="2210">
    <w:name w:val="Нет списка221"/>
    <w:uiPriority w:val="99"/>
    <w:semiHidden/>
    <w:unhideWhenUsed/>
    <w:qFormat/>
  </w:style>
  <w:style w:type="numbering" w:customStyle="1" w:styleId="1121">
    <w:name w:val="Нет списка1121"/>
    <w:uiPriority w:val="99"/>
    <w:semiHidden/>
    <w:unhideWhenUsed/>
    <w:qFormat/>
  </w:style>
  <w:style w:type="numbering" w:customStyle="1" w:styleId="3111">
    <w:name w:val="Нет списка311"/>
    <w:uiPriority w:val="99"/>
    <w:semiHidden/>
    <w:unhideWhenUsed/>
    <w:qFormat/>
  </w:style>
  <w:style w:type="numbering" w:customStyle="1" w:styleId="1211">
    <w:name w:val="Нет списка1211"/>
    <w:uiPriority w:val="99"/>
    <w:semiHidden/>
    <w:unhideWhenUsed/>
    <w:qFormat/>
  </w:style>
  <w:style w:type="numbering" w:customStyle="1" w:styleId="2111">
    <w:name w:val="Нет списка2111"/>
    <w:uiPriority w:val="99"/>
    <w:semiHidden/>
    <w:unhideWhenUsed/>
    <w:qFormat/>
  </w:style>
  <w:style w:type="numbering" w:customStyle="1" w:styleId="11111">
    <w:name w:val="Нет списка11111"/>
    <w:uiPriority w:val="99"/>
    <w:semiHidden/>
    <w:unhideWhenUsed/>
    <w:qFormat/>
  </w:style>
  <w:style w:type="numbering" w:customStyle="1" w:styleId="65">
    <w:name w:val="Нет списка6"/>
    <w:uiPriority w:val="99"/>
    <w:semiHidden/>
    <w:unhideWhenUsed/>
    <w:qFormat/>
  </w:style>
  <w:style w:type="numbering" w:customStyle="1" w:styleId="150">
    <w:name w:val="Нет списка15"/>
    <w:uiPriority w:val="99"/>
    <w:semiHidden/>
    <w:unhideWhenUsed/>
    <w:qFormat/>
  </w:style>
  <w:style w:type="numbering" w:customStyle="1" w:styleId="241">
    <w:name w:val="Нет списка24"/>
    <w:uiPriority w:val="99"/>
    <w:semiHidden/>
    <w:unhideWhenUsed/>
    <w:qFormat/>
  </w:style>
  <w:style w:type="numbering" w:customStyle="1" w:styleId="1140">
    <w:name w:val="Нет списка114"/>
    <w:uiPriority w:val="99"/>
    <w:semiHidden/>
    <w:unhideWhenUsed/>
    <w:qFormat/>
  </w:style>
  <w:style w:type="numbering" w:customStyle="1" w:styleId="330">
    <w:name w:val="Нет списка33"/>
    <w:uiPriority w:val="99"/>
    <w:semiHidden/>
    <w:unhideWhenUsed/>
    <w:qFormat/>
  </w:style>
  <w:style w:type="numbering" w:customStyle="1" w:styleId="123">
    <w:name w:val="Нет списка123"/>
    <w:uiPriority w:val="99"/>
    <w:semiHidden/>
    <w:unhideWhenUsed/>
    <w:qFormat/>
  </w:style>
  <w:style w:type="numbering" w:customStyle="1" w:styleId="2130">
    <w:name w:val="Нет списка213"/>
    <w:uiPriority w:val="99"/>
    <w:semiHidden/>
    <w:unhideWhenUsed/>
    <w:qFormat/>
  </w:style>
  <w:style w:type="numbering" w:customStyle="1" w:styleId="1113">
    <w:name w:val="Нет списка1113"/>
    <w:uiPriority w:val="99"/>
    <w:semiHidden/>
    <w:unhideWhenUsed/>
    <w:qFormat/>
  </w:style>
  <w:style w:type="numbering" w:customStyle="1" w:styleId="420">
    <w:name w:val="Нет списка42"/>
    <w:uiPriority w:val="99"/>
    <w:semiHidden/>
    <w:unhideWhenUsed/>
    <w:qFormat/>
  </w:style>
  <w:style w:type="numbering" w:customStyle="1" w:styleId="1320">
    <w:name w:val="Нет списка132"/>
    <w:uiPriority w:val="99"/>
    <w:semiHidden/>
    <w:unhideWhenUsed/>
    <w:qFormat/>
  </w:style>
  <w:style w:type="numbering" w:customStyle="1" w:styleId="2220">
    <w:name w:val="Нет списка222"/>
    <w:uiPriority w:val="99"/>
    <w:semiHidden/>
    <w:unhideWhenUsed/>
    <w:qFormat/>
  </w:style>
  <w:style w:type="numbering" w:customStyle="1" w:styleId="1122">
    <w:name w:val="Нет списка1122"/>
    <w:uiPriority w:val="99"/>
    <w:semiHidden/>
    <w:unhideWhenUsed/>
    <w:qFormat/>
  </w:style>
  <w:style w:type="numbering" w:customStyle="1" w:styleId="3120">
    <w:name w:val="Нет списка312"/>
    <w:uiPriority w:val="99"/>
    <w:semiHidden/>
    <w:unhideWhenUsed/>
    <w:qFormat/>
  </w:style>
  <w:style w:type="numbering" w:customStyle="1" w:styleId="1212">
    <w:name w:val="Нет списка1212"/>
    <w:uiPriority w:val="99"/>
    <w:semiHidden/>
    <w:unhideWhenUsed/>
    <w:qFormat/>
  </w:style>
  <w:style w:type="numbering" w:customStyle="1" w:styleId="2112">
    <w:name w:val="Нет списка2112"/>
    <w:uiPriority w:val="99"/>
    <w:semiHidden/>
    <w:unhideWhenUsed/>
    <w:qFormat/>
  </w:style>
  <w:style w:type="numbering" w:customStyle="1" w:styleId="11112">
    <w:name w:val="Нет списка11112"/>
    <w:uiPriority w:val="99"/>
    <w:semiHidden/>
    <w:unhideWhenUsed/>
    <w:qFormat/>
  </w:style>
  <w:style w:type="numbering" w:customStyle="1" w:styleId="512">
    <w:name w:val="Нет списка51"/>
    <w:uiPriority w:val="99"/>
    <w:semiHidden/>
    <w:unhideWhenUsed/>
    <w:qFormat/>
  </w:style>
  <w:style w:type="numbering" w:customStyle="1" w:styleId="611">
    <w:name w:val="Нет списка61"/>
    <w:uiPriority w:val="99"/>
    <w:semiHidden/>
    <w:unhideWhenUsed/>
    <w:qFormat/>
  </w:style>
  <w:style w:type="numbering" w:customStyle="1" w:styleId="76">
    <w:name w:val="Нет списка7"/>
    <w:uiPriority w:val="99"/>
    <w:semiHidden/>
    <w:unhideWhenUsed/>
    <w:qFormat/>
  </w:style>
  <w:style w:type="numbering" w:customStyle="1" w:styleId="160">
    <w:name w:val="Нет списка16"/>
    <w:uiPriority w:val="99"/>
    <w:semiHidden/>
    <w:unhideWhenUsed/>
    <w:qFormat/>
  </w:style>
  <w:style w:type="numbering" w:customStyle="1" w:styleId="115">
    <w:name w:val="Нет списка115"/>
    <w:uiPriority w:val="99"/>
    <w:semiHidden/>
    <w:unhideWhenUsed/>
    <w:qFormat/>
  </w:style>
  <w:style w:type="numbering" w:customStyle="1" w:styleId="251">
    <w:name w:val="Нет списка25"/>
    <w:uiPriority w:val="99"/>
    <w:semiHidden/>
    <w:unhideWhenUsed/>
    <w:qFormat/>
  </w:style>
  <w:style w:type="numbering" w:customStyle="1" w:styleId="1114">
    <w:name w:val="Нет списка1114"/>
    <w:uiPriority w:val="99"/>
    <w:semiHidden/>
    <w:unhideWhenUsed/>
    <w:qFormat/>
  </w:style>
  <w:style w:type="numbering" w:customStyle="1" w:styleId="340">
    <w:name w:val="Нет списка34"/>
    <w:uiPriority w:val="99"/>
    <w:semiHidden/>
    <w:unhideWhenUsed/>
    <w:qFormat/>
  </w:style>
  <w:style w:type="numbering" w:customStyle="1" w:styleId="124">
    <w:name w:val="Нет списка124"/>
    <w:uiPriority w:val="99"/>
    <w:semiHidden/>
    <w:unhideWhenUsed/>
    <w:qFormat/>
  </w:style>
  <w:style w:type="numbering" w:customStyle="1" w:styleId="2140">
    <w:name w:val="Нет списка214"/>
    <w:uiPriority w:val="99"/>
    <w:semiHidden/>
    <w:unhideWhenUsed/>
    <w:qFormat/>
  </w:style>
  <w:style w:type="numbering" w:customStyle="1" w:styleId="11113">
    <w:name w:val="Нет списка11113"/>
    <w:uiPriority w:val="99"/>
    <w:semiHidden/>
    <w:unhideWhenUsed/>
    <w:qFormat/>
  </w:style>
  <w:style w:type="numbering" w:customStyle="1" w:styleId="430">
    <w:name w:val="Нет списка43"/>
    <w:uiPriority w:val="99"/>
    <w:semiHidden/>
    <w:unhideWhenUsed/>
    <w:qFormat/>
  </w:style>
  <w:style w:type="numbering" w:customStyle="1" w:styleId="133">
    <w:name w:val="Нет списка133"/>
    <w:uiPriority w:val="99"/>
    <w:semiHidden/>
    <w:unhideWhenUsed/>
    <w:qFormat/>
  </w:style>
  <w:style w:type="numbering" w:customStyle="1" w:styleId="223">
    <w:name w:val="Нет списка223"/>
    <w:uiPriority w:val="99"/>
    <w:semiHidden/>
    <w:unhideWhenUsed/>
    <w:qFormat/>
  </w:style>
  <w:style w:type="numbering" w:customStyle="1" w:styleId="1123">
    <w:name w:val="Нет списка1123"/>
    <w:uiPriority w:val="99"/>
    <w:semiHidden/>
    <w:unhideWhenUsed/>
    <w:qFormat/>
  </w:style>
  <w:style w:type="numbering" w:customStyle="1" w:styleId="3130">
    <w:name w:val="Нет списка313"/>
    <w:uiPriority w:val="99"/>
    <w:semiHidden/>
    <w:unhideWhenUsed/>
    <w:qFormat/>
  </w:style>
  <w:style w:type="numbering" w:customStyle="1" w:styleId="1213">
    <w:name w:val="Нет списка1213"/>
    <w:uiPriority w:val="99"/>
    <w:semiHidden/>
    <w:unhideWhenUsed/>
    <w:qFormat/>
  </w:style>
  <w:style w:type="numbering" w:customStyle="1" w:styleId="2113">
    <w:name w:val="Нет списка2113"/>
    <w:uiPriority w:val="99"/>
    <w:semiHidden/>
    <w:unhideWhenUsed/>
    <w:qFormat/>
  </w:style>
  <w:style w:type="numbering" w:customStyle="1" w:styleId="111111">
    <w:name w:val="Нет списка111111"/>
    <w:uiPriority w:val="99"/>
    <w:semiHidden/>
    <w:unhideWhenUsed/>
    <w:qFormat/>
  </w:style>
  <w:style w:type="numbering" w:customStyle="1" w:styleId="520">
    <w:name w:val="Нет списка52"/>
    <w:uiPriority w:val="99"/>
    <w:semiHidden/>
    <w:unhideWhenUsed/>
    <w:qFormat/>
  </w:style>
  <w:style w:type="numbering" w:customStyle="1" w:styleId="141">
    <w:name w:val="Нет списка141"/>
    <w:uiPriority w:val="99"/>
    <w:semiHidden/>
    <w:unhideWhenUsed/>
    <w:qFormat/>
  </w:style>
  <w:style w:type="numbering" w:customStyle="1" w:styleId="2310">
    <w:name w:val="Нет списка231"/>
    <w:uiPriority w:val="99"/>
    <w:semiHidden/>
    <w:unhideWhenUsed/>
    <w:qFormat/>
  </w:style>
  <w:style w:type="numbering" w:customStyle="1" w:styleId="1131">
    <w:name w:val="Нет списка1131"/>
    <w:uiPriority w:val="99"/>
    <w:semiHidden/>
    <w:unhideWhenUsed/>
    <w:qFormat/>
  </w:style>
  <w:style w:type="numbering" w:customStyle="1" w:styleId="321">
    <w:name w:val="Нет списка321"/>
    <w:uiPriority w:val="99"/>
    <w:semiHidden/>
    <w:unhideWhenUsed/>
    <w:qFormat/>
  </w:style>
  <w:style w:type="numbering" w:customStyle="1" w:styleId="1221">
    <w:name w:val="Нет списка1221"/>
    <w:uiPriority w:val="99"/>
    <w:semiHidden/>
    <w:unhideWhenUsed/>
    <w:qFormat/>
  </w:style>
  <w:style w:type="numbering" w:customStyle="1" w:styleId="2121">
    <w:name w:val="Нет списка2121"/>
    <w:uiPriority w:val="99"/>
    <w:semiHidden/>
    <w:unhideWhenUsed/>
    <w:qFormat/>
  </w:style>
  <w:style w:type="numbering" w:customStyle="1" w:styleId="11121">
    <w:name w:val="Нет списка11121"/>
    <w:uiPriority w:val="99"/>
    <w:semiHidden/>
    <w:unhideWhenUsed/>
    <w:qFormat/>
  </w:style>
  <w:style w:type="numbering" w:customStyle="1" w:styleId="4110">
    <w:name w:val="Нет списка411"/>
    <w:uiPriority w:val="99"/>
    <w:semiHidden/>
    <w:unhideWhenUsed/>
    <w:qFormat/>
  </w:style>
  <w:style w:type="numbering" w:customStyle="1" w:styleId="1311">
    <w:name w:val="Нет списка1311"/>
    <w:uiPriority w:val="99"/>
    <w:semiHidden/>
    <w:unhideWhenUsed/>
    <w:qFormat/>
  </w:style>
  <w:style w:type="numbering" w:customStyle="1" w:styleId="2211">
    <w:name w:val="Нет списка2211"/>
    <w:uiPriority w:val="99"/>
    <w:semiHidden/>
    <w:unhideWhenUsed/>
    <w:qFormat/>
  </w:style>
  <w:style w:type="numbering" w:customStyle="1" w:styleId="11211">
    <w:name w:val="Нет списка11211"/>
    <w:uiPriority w:val="99"/>
    <w:semiHidden/>
    <w:unhideWhenUsed/>
    <w:qFormat/>
  </w:style>
  <w:style w:type="numbering" w:customStyle="1" w:styleId="31110">
    <w:name w:val="Нет списка3111"/>
    <w:uiPriority w:val="99"/>
    <w:semiHidden/>
    <w:unhideWhenUsed/>
    <w:qFormat/>
  </w:style>
  <w:style w:type="numbering" w:customStyle="1" w:styleId="12111">
    <w:name w:val="Нет списка12111"/>
    <w:uiPriority w:val="99"/>
    <w:semiHidden/>
    <w:unhideWhenUsed/>
    <w:qFormat/>
  </w:style>
  <w:style w:type="numbering" w:customStyle="1" w:styleId="21111">
    <w:name w:val="Нет списка21111"/>
    <w:uiPriority w:val="99"/>
    <w:semiHidden/>
    <w:unhideWhenUsed/>
    <w:qFormat/>
  </w:style>
  <w:style w:type="numbering" w:customStyle="1" w:styleId="1111111">
    <w:name w:val="Нет списка1111111"/>
    <w:uiPriority w:val="99"/>
    <w:semiHidden/>
    <w:unhideWhenUsed/>
    <w:qFormat/>
  </w:style>
  <w:style w:type="numbering" w:customStyle="1" w:styleId="620">
    <w:name w:val="Нет списка62"/>
    <w:uiPriority w:val="99"/>
    <w:semiHidden/>
    <w:unhideWhenUsed/>
    <w:qFormat/>
  </w:style>
  <w:style w:type="numbering" w:customStyle="1" w:styleId="151">
    <w:name w:val="Нет списка151"/>
    <w:uiPriority w:val="99"/>
    <w:semiHidden/>
    <w:unhideWhenUsed/>
    <w:qFormat/>
  </w:style>
  <w:style w:type="numbering" w:customStyle="1" w:styleId="2410">
    <w:name w:val="Нет списка241"/>
    <w:uiPriority w:val="99"/>
    <w:semiHidden/>
    <w:unhideWhenUsed/>
    <w:qFormat/>
  </w:style>
  <w:style w:type="numbering" w:customStyle="1" w:styleId="1141">
    <w:name w:val="Нет списка1141"/>
    <w:uiPriority w:val="99"/>
    <w:semiHidden/>
    <w:unhideWhenUsed/>
    <w:qFormat/>
  </w:style>
  <w:style w:type="numbering" w:customStyle="1" w:styleId="331">
    <w:name w:val="Нет списка331"/>
    <w:uiPriority w:val="99"/>
    <w:semiHidden/>
    <w:unhideWhenUsed/>
    <w:qFormat/>
  </w:style>
  <w:style w:type="numbering" w:customStyle="1" w:styleId="1231">
    <w:name w:val="Нет списка1231"/>
    <w:uiPriority w:val="99"/>
    <w:semiHidden/>
    <w:unhideWhenUsed/>
    <w:qFormat/>
  </w:style>
  <w:style w:type="numbering" w:customStyle="1" w:styleId="2131">
    <w:name w:val="Нет списка2131"/>
    <w:uiPriority w:val="99"/>
    <w:semiHidden/>
    <w:unhideWhenUsed/>
    <w:qFormat/>
  </w:style>
  <w:style w:type="numbering" w:customStyle="1" w:styleId="11131">
    <w:name w:val="Нет списка11131"/>
    <w:uiPriority w:val="99"/>
    <w:semiHidden/>
    <w:unhideWhenUsed/>
    <w:qFormat/>
  </w:style>
  <w:style w:type="numbering" w:customStyle="1" w:styleId="421">
    <w:name w:val="Нет списка421"/>
    <w:uiPriority w:val="99"/>
    <w:semiHidden/>
    <w:unhideWhenUsed/>
    <w:qFormat/>
  </w:style>
  <w:style w:type="numbering" w:customStyle="1" w:styleId="1321">
    <w:name w:val="Нет списка1321"/>
    <w:uiPriority w:val="99"/>
    <w:semiHidden/>
    <w:unhideWhenUsed/>
    <w:qFormat/>
  </w:style>
  <w:style w:type="numbering" w:customStyle="1" w:styleId="2221">
    <w:name w:val="Нет списка2221"/>
    <w:uiPriority w:val="99"/>
    <w:semiHidden/>
    <w:unhideWhenUsed/>
    <w:qFormat/>
  </w:style>
  <w:style w:type="numbering" w:customStyle="1" w:styleId="11221">
    <w:name w:val="Нет списка11221"/>
    <w:uiPriority w:val="99"/>
    <w:semiHidden/>
    <w:unhideWhenUsed/>
    <w:qFormat/>
  </w:style>
  <w:style w:type="numbering" w:customStyle="1" w:styleId="3121">
    <w:name w:val="Нет списка3121"/>
    <w:uiPriority w:val="99"/>
    <w:semiHidden/>
    <w:unhideWhenUsed/>
    <w:qFormat/>
  </w:style>
  <w:style w:type="numbering" w:customStyle="1" w:styleId="12121">
    <w:name w:val="Нет списка12121"/>
    <w:uiPriority w:val="99"/>
    <w:semiHidden/>
    <w:unhideWhenUsed/>
    <w:qFormat/>
  </w:style>
  <w:style w:type="numbering" w:customStyle="1" w:styleId="21121">
    <w:name w:val="Нет списка21121"/>
    <w:uiPriority w:val="99"/>
    <w:semiHidden/>
    <w:unhideWhenUsed/>
    <w:qFormat/>
  </w:style>
  <w:style w:type="numbering" w:customStyle="1" w:styleId="111121">
    <w:name w:val="Нет списка111121"/>
    <w:uiPriority w:val="99"/>
    <w:semiHidden/>
    <w:unhideWhenUsed/>
    <w:qFormat/>
  </w:style>
  <w:style w:type="numbering" w:customStyle="1" w:styleId="5110">
    <w:name w:val="Нет списка511"/>
    <w:uiPriority w:val="99"/>
    <w:semiHidden/>
    <w:unhideWhenUsed/>
    <w:qFormat/>
  </w:style>
  <w:style w:type="numbering" w:customStyle="1" w:styleId="6110">
    <w:name w:val="Нет списка611"/>
    <w:uiPriority w:val="99"/>
    <w:semiHidden/>
    <w:unhideWhenUsed/>
    <w:qFormat/>
  </w:style>
  <w:style w:type="numbering" w:customStyle="1" w:styleId="83">
    <w:name w:val="Нет списка8"/>
    <w:uiPriority w:val="99"/>
    <w:semiHidden/>
    <w:unhideWhenUsed/>
    <w:qFormat/>
  </w:style>
  <w:style w:type="numbering" w:customStyle="1" w:styleId="93">
    <w:name w:val="Нет списка9"/>
    <w:semiHidden/>
    <w:qFormat/>
  </w:style>
  <w:style w:type="numbering" w:customStyle="1" w:styleId="101">
    <w:name w:val="Нет списка10"/>
    <w:semiHidden/>
    <w:qFormat/>
  </w:style>
  <w:style w:type="numbering" w:customStyle="1" w:styleId="170">
    <w:name w:val="Нет списка17"/>
    <w:semiHidden/>
    <w:qFormat/>
  </w:style>
  <w:style w:type="numbering" w:customStyle="1" w:styleId="180">
    <w:name w:val="Нет списка18"/>
    <w:uiPriority w:val="99"/>
    <w:semiHidden/>
    <w:unhideWhenUsed/>
    <w:qFormat/>
  </w:style>
  <w:style w:type="numbering" w:customStyle="1" w:styleId="190">
    <w:name w:val="Нет списка19"/>
    <w:uiPriority w:val="99"/>
    <w:semiHidden/>
    <w:unhideWhenUsed/>
    <w:qFormat/>
  </w:style>
  <w:style w:type="numbering" w:customStyle="1" w:styleId="1100">
    <w:name w:val="Нет списка110"/>
    <w:uiPriority w:val="99"/>
    <w:semiHidden/>
    <w:unhideWhenUsed/>
    <w:qFormat/>
  </w:style>
  <w:style w:type="numbering" w:customStyle="1" w:styleId="261">
    <w:name w:val="Нет списка26"/>
    <w:uiPriority w:val="99"/>
    <w:semiHidden/>
    <w:unhideWhenUsed/>
    <w:qFormat/>
  </w:style>
  <w:style w:type="numbering" w:customStyle="1" w:styleId="116">
    <w:name w:val="Нет списка116"/>
    <w:uiPriority w:val="99"/>
    <w:semiHidden/>
    <w:unhideWhenUsed/>
    <w:qFormat/>
  </w:style>
  <w:style w:type="numbering" w:customStyle="1" w:styleId="350">
    <w:name w:val="Нет списка35"/>
    <w:uiPriority w:val="99"/>
    <w:semiHidden/>
    <w:unhideWhenUsed/>
    <w:qFormat/>
  </w:style>
  <w:style w:type="numbering" w:customStyle="1" w:styleId="125">
    <w:name w:val="Нет списка125"/>
    <w:uiPriority w:val="99"/>
    <w:semiHidden/>
    <w:unhideWhenUsed/>
    <w:qFormat/>
  </w:style>
  <w:style w:type="numbering" w:customStyle="1" w:styleId="2150">
    <w:name w:val="Нет списка215"/>
    <w:uiPriority w:val="99"/>
    <w:semiHidden/>
    <w:unhideWhenUsed/>
    <w:qFormat/>
  </w:style>
  <w:style w:type="numbering" w:customStyle="1" w:styleId="1115">
    <w:name w:val="Нет списка1115"/>
    <w:uiPriority w:val="99"/>
    <w:semiHidden/>
    <w:unhideWhenUsed/>
    <w:qFormat/>
  </w:style>
  <w:style w:type="numbering" w:customStyle="1" w:styleId="440">
    <w:name w:val="Нет списка44"/>
    <w:uiPriority w:val="99"/>
    <w:semiHidden/>
    <w:unhideWhenUsed/>
    <w:qFormat/>
  </w:style>
  <w:style w:type="numbering" w:customStyle="1" w:styleId="134">
    <w:name w:val="Нет списка134"/>
    <w:uiPriority w:val="99"/>
    <w:semiHidden/>
    <w:unhideWhenUsed/>
    <w:qFormat/>
  </w:style>
  <w:style w:type="numbering" w:customStyle="1" w:styleId="224">
    <w:name w:val="Нет списка224"/>
    <w:uiPriority w:val="99"/>
    <w:semiHidden/>
    <w:unhideWhenUsed/>
    <w:qFormat/>
  </w:style>
  <w:style w:type="numbering" w:customStyle="1" w:styleId="1124">
    <w:name w:val="Нет списка1124"/>
    <w:uiPriority w:val="99"/>
    <w:semiHidden/>
    <w:unhideWhenUsed/>
    <w:qFormat/>
  </w:style>
  <w:style w:type="numbering" w:customStyle="1" w:styleId="3140">
    <w:name w:val="Нет списка314"/>
    <w:uiPriority w:val="99"/>
    <w:semiHidden/>
    <w:unhideWhenUsed/>
    <w:qFormat/>
  </w:style>
  <w:style w:type="numbering" w:customStyle="1" w:styleId="1214">
    <w:name w:val="Нет списка1214"/>
    <w:uiPriority w:val="99"/>
    <w:semiHidden/>
    <w:unhideWhenUsed/>
    <w:qFormat/>
  </w:style>
  <w:style w:type="numbering" w:customStyle="1" w:styleId="2114">
    <w:name w:val="Нет списка2114"/>
    <w:uiPriority w:val="99"/>
    <w:semiHidden/>
    <w:unhideWhenUsed/>
    <w:qFormat/>
  </w:style>
  <w:style w:type="numbering" w:customStyle="1" w:styleId="11114">
    <w:name w:val="Нет списка11114"/>
    <w:uiPriority w:val="99"/>
    <w:semiHidden/>
    <w:unhideWhenUsed/>
    <w:qFormat/>
  </w:style>
  <w:style w:type="numbering" w:customStyle="1" w:styleId="530">
    <w:name w:val="Нет списка53"/>
    <w:uiPriority w:val="99"/>
    <w:semiHidden/>
    <w:unhideWhenUsed/>
    <w:qFormat/>
  </w:style>
  <w:style w:type="numbering" w:customStyle="1" w:styleId="142">
    <w:name w:val="Нет списка142"/>
    <w:uiPriority w:val="99"/>
    <w:semiHidden/>
    <w:unhideWhenUsed/>
    <w:qFormat/>
  </w:style>
  <w:style w:type="numbering" w:customStyle="1" w:styleId="2320">
    <w:name w:val="Нет списка232"/>
    <w:uiPriority w:val="99"/>
    <w:semiHidden/>
    <w:unhideWhenUsed/>
    <w:qFormat/>
  </w:style>
  <w:style w:type="numbering" w:customStyle="1" w:styleId="1132">
    <w:name w:val="Нет списка1132"/>
    <w:uiPriority w:val="99"/>
    <w:semiHidden/>
    <w:unhideWhenUsed/>
    <w:qFormat/>
  </w:style>
  <w:style w:type="numbering" w:customStyle="1" w:styleId="322">
    <w:name w:val="Нет списка322"/>
    <w:uiPriority w:val="99"/>
    <w:semiHidden/>
    <w:unhideWhenUsed/>
    <w:qFormat/>
  </w:style>
  <w:style w:type="numbering" w:customStyle="1" w:styleId="1222">
    <w:name w:val="Нет списка1222"/>
    <w:uiPriority w:val="99"/>
    <w:semiHidden/>
    <w:unhideWhenUsed/>
    <w:qFormat/>
  </w:style>
  <w:style w:type="numbering" w:customStyle="1" w:styleId="2122">
    <w:name w:val="Нет списка2122"/>
    <w:uiPriority w:val="99"/>
    <w:semiHidden/>
    <w:unhideWhenUsed/>
    <w:qFormat/>
  </w:style>
  <w:style w:type="numbering" w:customStyle="1" w:styleId="11122">
    <w:name w:val="Нет списка11122"/>
    <w:uiPriority w:val="99"/>
    <w:semiHidden/>
    <w:unhideWhenUsed/>
    <w:qFormat/>
  </w:style>
  <w:style w:type="numbering" w:customStyle="1" w:styleId="412">
    <w:name w:val="Нет списка412"/>
    <w:uiPriority w:val="99"/>
    <w:semiHidden/>
    <w:unhideWhenUsed/>
    <w:qFormat/>
  </w:style>
  <w:style w:type="numbering" w:customStyle="1" w:styleId="1312">
    <w:name w:val="Нет списка1312"/>
    <w:uiPriority w:val="99"/>
    <w:semiHidden/>
    <w:unhideWhenUsed/>
    <w:qFormat/>
  </w:style>
  <w:style w:type="numbering" w:customStyle="1" w:styleId="2212">
    <w:name w:val="Нет списка2212"/>
    <w:uiPriority w:val="99"/>
    <w:semiHidden/>
    <w:unhideWhenUsed/>
    <w:qFormat/>
  </w:style>
  <w:style w:type="numbering" w:customStyle="1" w:styleId="11212">
    <w:name w:val="Нет списка11212"/>
    <w:uiPriority w:val="99"/>
    <w:semiHidden/>
    <w:unhideWhenUsed/>
    <w:qFormat/>
  </w:style>
  <w:style w:type="numbering" w:customStyle="1" w:styleId="3112">
    <w:name w:val="Нет списка3112"/>
    <w:uiPriority w:val="99"/>
    <w:semiHidden/>
    <w:unhideWhenUsed/>
    <w:qFormat/>
  </w:style>
  <w:style w:type="numbering" w:customStyle="1" w:styleId="12112">
    <w:name w:val="Нет списка12112"/>
    <w:uiPriority w:val="99"/>
    <w:semiHidden/>
    <w:unhideWhenUsed/>
    <w:qFormat/>
  </w:style>
  <w:style w:type="numbering" w:customStyle="1" w:styleId="21112">
    <w:name w:val="Нет списка21112"/>
    <w:uiPriority w:val="99"/>
    <w:semiHidden/>
    <w:unhideWhenUsed/>
    <w:qFormat/>
  </w:style>
  <w:style w:type="numbering" w:customStyle="1" w:styleId="111112">
    <w:name w:val="Нет списка111112"/>
    <w:uiPriority w:val="99"/>
    <w:semiHidden/>
    <w:unhideWhenUsed/>
    <w:qFormat/>
  </w:style>
  <w:style w:type="numbering" w:customStyle="1" w:styleId="630">
    <w:name w:val="Нет списка63"/>
    <w:uiPriority w:val="99"/>
    <w:semiHidden/>
    <w:unhideWhenUsed/>
    <w:qFormat/>
  </w:style>
  <w:style w:type="numbering" w:customStyle="1" w:styleId="152">
    <w:name w:val="Нет списка152"/>
    <w:uiPriority w:val="99"/>
    <w:semiHidden/>
    <w:unhideWhenUsed/>
    <w:qFormat/>
  </w:style>
  <w:style w:type="numbering" w:customStyle="1" w:styleId="242">
    <w:name w:val="Нет списка242"/>
    <w:uiPriority w:val="99"/>
    <w:semiHidden/>
    <w:unhideWhenUsed/>
    <w:qFormat/>
  </w:style>
  <w:style w:type="numbering" w:customStyle="1" w:styleId="1142">
    <w:name w:val="Нет списка1142"/>
    <w:uiPriority w:val="99"/>
    <w:semiHidden/>
    <w:unhideWhenUsed/>
    <w:qFormat/>
  </w:style>
  <w:style w:type="numbering" w:customStyle="1" w:styleId="332">
    <w:name w:val="Нет списка332"/>
    <w:uiPriority w:val="99"/>
    <w:semiHidden/>
    <w:unhideWhenUsed/>
    <w:qFormat/>
  </w:style>
  <w:style w:type="numbering" w:customStyle="1" w:styleId="1232">
    <w:name w:val="Нет списка1232"/>
    <w:uiPriority w:val="99"/>
    <w:semiHidden/>
    <w:unhideWhenUsed/>
    <w:qFormat/>
  </w:style>
  <w:style w:type="numbering" w:customStyle="1" w:styleId="2132">
    <w:name w:val="Нет списка2132"/>
    <w:uiPriority w:val="99"/>
    <w:semiHidden/>
    <w:unhideWhenUsed/>
    <w:qFormat/>
  </w:style>
  <w:style w:type="numbering" w:customStyle="1" w:styleId="11132">
    <w:name w:val="Нет списка11132"/>
    <w:uiPriority w:val="99"/>
    <w:semiHidden/>
    <w:unhideWhenUsed/>
    <w:qFormat/>
  </w:style>
  <w:style w:type="numbering" w:customStyle="1" w:styleId="422">
    <w:name w:val="Нет списка422"/>
    <w:uiPriority w:val="99"/>
    <w:semiHidden/>
    <w:unhideWhenUsed/>
    <w:qFormat/>
  </w:style>
  <w:style w:type="numbering" w:customStyle="1" w:styleId="1322">
    <w:name w:val="Нет списка1322"/>
    <w:uiPriority w:val="99"/>
    <w:semiHidden/>
    <w:unhideWhenUsed/>
    <w:qFormat/>
  </w:style>
  <w:style w:type="numbering" w:customStyle="1" w:styleId="2222">
    <w:name w:val="Нет списка2222"/>
    <w:uiPriority w:val="99"/>
    <w:semiHidden/>
    <w:unhideWhenUsed/>
    <w:qFormat/>
  </w:style>
  <w:style w:type="numbering" w:customStyle="1" w:styleId="11222">
    <w:name w:val="Нет списка11222"/>
    <w:uiPriority w:val="99"/>
    <w:semiHidden/>
    <w:unhideWhenUsed/>
    <w:qFormat/>
  </w:style>
  <w:style w:type="numbering" w:customStyle="1" w:styleId="3122">
    <w:name w:val="Нет списка3122"/>
    <w:uiPriority w:val="99"/>
    <w:semiHidden/>
    <w:unhideWhenUsed/>
    <w:qFormat/>
  </w:style>
  <w:style w:type="numbering" w:customStyle="1" w:styleId="12122">
    <w:name w:val="Нет списка12122"/>
    <w:uiPriority w:val="99"/>
    <w:semiHidden/>
    <w:unhideWhenUsed/>
    <w:qFormat/>
  </w:style>
  <w:style w:type="numbering" w:customStyle="1" w:styleId="21122">
    <w:name w:val="Нет списка21122"/>
    <w:uiPriority w:val="99"/>
    <w:semiHidden/>
    <w:unhideWhenUsed/>
    <w:qFormat/>
  </w:style>
  <w:style w:type="numbering" w:customStyle="1" w:styleId="111122">
    <w:name w:val="Нет списка111122"/>
    <w:uiPriority w:val="99"/>
    <w:semiHidden/>
    <w:unhideWhenUsed/>
    <w:qFormat/>
  </w:style>
  <w:style w:type="numbering" w:customStyle="1" w:styleId="5120">
    <w:name w:val="Нет списка512"/>
    <w:uiPriority w:val="99"/>
    <w:semiHidden/>
    <w:unhideWhenUsed/>
    <w:qFormat/>
  </w:style>
  <w:style w:type="numbering" w:customStyle="1" w:styleId="612">
    <w:name w:val="Нет списка612"/>
    <w:uiPriority w:val="99"/>
    <w:semiHidden/>
    <w:unhideWhenUsed/>
    <w:qFormat/>
  </w:style>
  <w:style w:type="numbering" w:customStyle="1" w:styleId="712">
    <w:name w:val="Нет списка71"/>
    <w:uiPriority w:val="99"/>
    <w:semiHidden/>
    <w:unhideWhenUsed/>
    <w:qFormat/>
  </w:style>
  <w:style w:type="numbering" w:customStyle="1" w:styleId="161">
    <w:name w:val="Нет списка161"/>
    <w:uiPriority w:val="99"/>
    <w:semiHidden/>
    <w:unhideWhenUsed/>
    <w:qFormat/>
  </w:style>
  <w:style w:type="numbering" w:customStyle="1" w:styleId="1151">
    <w:name w:val="Нет списка1151"/>
    <w:uiPriority w:val="99"/>
    <w:semiHidden/>
    <w:unhideWhenUsed/>
    <w:qFormat/>
  </w:style>
  <w:style w:type="numbering" w:customStyle="1" w:styleId="2510">
    <w:name w:val="Нет списка251"/>
    <w:uiPriority w:val="99"/>
    <w:semiHidden/>
    <w:unhideWhenUsed/>
    <w:qFormat/>
  </w:style>
  <w:style w:type="numbering" w:customStyle="1" w:styleId="11141">
    <w:name w:val="Нет списка11141"/>
    <w:uiPriority w:val="99"/>
    <w:semiHidden/>
    <w:unhideWhenUsed/>
    <w:qFormat/>
  </w:style>
  <w:style w:type="numbering" w:customStyle="1" w:styleId="341">
    <w:name w:val="Нет списка341"/>
    <w:uiPriority w:val="99"/>
    <w:semiHidden/>
    <w:unhideWhenUsed/>
    <w:qFormat/>
  </w:style>
  <w:style w:type="numbering" w:customStyle="1" w:styleId="1241">
    <w:name w:val="Нет списка1241"/>
    <w:uiPriority w:val="99"/>
    <w:semiHidden/>
    <w:unhideWhenUsed/>
    <w:qFormat/>
  </w:style>
  <w:style w:type="numbering" w:customStyle="1" w:styleId="2141">
    <w:name w:val="Нет списка2141"/>
    <w:uiPriority w:val="99"/>
    <w:semiHidden/>
    <w:unhideWhenUsed/>
    <w:qFormat/>
  </w:style>
  <w:style w:type="numbering" w:customStyle="1" w:styleId="111131">
    <w:name w:val="Нет списка111131"/>
    <w:uiPriority w:val="99"/>
    <w:semiHidden/>
    <w:unhideWhenUsed/>
    <w:qFormat/>
  </w:style>
  <w:style w:type="numbering" w:customStyle="1" w:styleId="431">
    <w:name w:val="Нет списка431"/>
    <w:uiPriority w:val="99"/>
    <w:semiHidden/>
    <w:unhideWhenUsed/>
    <w:qFormat/>
  </w:style>
  <w:style w:type="numbering" w:customStyle="1" w:styleId="1331">
    <w:name w:val="Нет списка1331"/>
    <w:uiPriority w:val="99"/>
    <w:semiHidden/>
    <w:unhideWhenUsed/>
    <w:qFormat/>
  </w:style>
  <w:style w:type="numbering" w:customStyle="1" w:styleId="2231">
    <w:name w:val="Нет списка2231"/>
    <w:uiPriority w:val="99"/>
    <w:semiHidden/>
    <w:unhideWhenUsed/>
    <w:qFormat/>
  </w:style>
  <w:style w:type="numbering" w:customStyle="1" w:styleId="11231">
    <w:name w:val="Нет списка11231"/>
    <w:uiPriority w:val="99"/>
    <w:semiHidden/>
    <w:unhideWhenUsed/>
    <w:qFormat/>
  </w:style>
  <w:style w:type="numbering" w:customStyle="1" w:styleId="3131">
    <w:name w:val="Нет списка3131"/>
    <w:uiPriority w:val="99"/>
    <w:semiHidden/>
    <w:unhideWhenUsed/>
    <w:qFormat/>
  </w:style>
  <w:style w:type="numbering" w:customStyle="1" w:styleId="12131">
    <w:name w:val="Нет списка12131"/>
    <w:uiPriority w:val="99"/>
    <w:semiHidden/>
    <w:unhideWhenUsed/>
    <w:qFormat/>
  </w:style>
  <w:style w:type="numbering" w:customStyle="1" w:styleId="21131">
    <w:name w:val="Нет списка21131"/>
    <w:uiPriority w:val="99"/>
    <w:semiHidden/>
    <w:unhideWhenUsed/>
    <w:qFormat/>
  </w:style>
  <w:style w:type="numbering" w:customStyle="1" w:styleId="1111112">
    <w:name w:val="Нет списка1111112"/>
    <w:uiPriority w:val="99"/>
    <w:semiHidden/>
    <w:unhideWhenUsed/>
    <w:qFormat/>
  </w:style>
  <w:style w:type="numbering" w:customStyle="1" w:styleId="521">
    <w:name w:val="Нет списка521"/>
    <w:uiPriority w:val="99"/>
    <w:semiHidden/>
    <w:unhideWhenUsed/>
    <w:qFormat/>
  </w:style>
  <w:style w:type="numbering" w:customStyle="1" w:styleId="1411">
    <w:name w:val="Нет списка1411"/>
    <w:uiPriority w:val="99"/>
    <w:semiHidden/>
    <w:unhideWhenUsed/>
    <w:qFormat/>
  </w:style>
  <w:style w:type="numbering" w:customStyle="1" w:styleId="2311">
    <w:name w:val="Нет списка2311"/>
    <w:uiPriority w:val="99"/>
    <w:semiHidden/>
    <w:unhideWhenUsed/>
    <w:qFormat/>
  </w:style>
  <w:style w:type="numbering" w:customStyle="1" w:styleId="11311">
    <w:name w:val="Нет списка11311"/>
    <w:uiPriority w:val="99"/>
    <w:semiHidden/>
    <w:unhideWhenUsed/>
    <w:qFormat/>
  </w:style>
  <w:style w:type="numbering" w:customStyle="1" w:styleId="3211">
    <w:name w:val="Нет списка3211"/>
    <w:uiPriority w:val="99"/>
    <w:semiHidden/>
    <w:unhideWhenUsed/>
    <w:qFormat/>
  </w:style>
  <w:style w:type="numbering" w:customStyle="1" w:styleId="12211">
    <w:name w:val="Нет списка12211"/>
    <w:uiPriority w:val="99"/>
    <w:semiHidden/>
    <w:unhideWhenUsed/>
    <w:qFormat/>
  </w:style>
  <w:style w:type="numbering" w:customStyle="1" w:styleId="21211">
    <w:name w:val="Нет списка21211"/>
    <w:uiPriority w:val="99"/>
    <w:semiHidden/>
    <w:unhideWhenUsed/>
    <w:qFormat/>
  </w:style>
  <w:style w:type="numbering" w:customStyle="1" w:styleId="111211">
    <w:name w:val="Нет списка111211"/>
    <w:uiPriority w:val="99"/>
    <w:semiHidden/>
    <w:unhideWhenUsed/>
    <w:qFormat/>
  </w:style>
  <w:style w:type="numbering" w:customStyle="1" w:styleId="4111">
    <w:name w:val="Нет списка4111"/>
    <w:uiPriority w:val="99"/>
    <w:semiHidden/>
    <w:unhideWhenUsed/>
    <w:qFormat/>
  </w:style>
  <w:style w:type="numbering" w:customStyle="1" w:styleId="13111">
    <w:name w:val="Нет списка13111"/>
    <w:uiPriority w:val="99"/>
    <w:semiHidden/>
    <w:unhideWhenUsed/>
    <w:qFormat/>
  </w:style>
  <w:style w:type="numbering" w:customStyle="1" w:styleId="22111">
    <w:name w:val="Нет списка22111"/>
    <w:uiPriority w:val="99"/>
    <w:semiHidden/>
    <w:unhideWhenUsed/>
    <w:qFormat/>
  </w:style>
  <w:style w:type="numbering" w:customStyle="1" w:styleId="112111">
    <w:name w:val="Нет списка112111"/>
    <w:uiPriority w:val="99"/>
    <w:semiHidden/>
    <w:unhideWhenUsed/>
    <w:qFormat/>
  </w:style>
  <w:style w:type="numbering" w:customStyle="1" w:styleId="31111">
    <w:name w:val="Нет списка31111"/>
    <w:uiPriority w:val="99"/>
    <w:semiHidden/>
    <w:unhideWhenUsed/>
    <w:qFormat/>
  </w:style>
  <w:style w:type="numbering" w:customStyle="1" w:styleId="121111">
    <w:name w:val="Нет списка121111"/>
    <w:uiPriority w:val="99"/>
    <w:semiHidden/>
    <w:unhideWhenUsed/>
    <w:qFormat/>
  </w:style>
  <w:style w:type="numbering" w:customStyle="1" w:styleId="211111">
    <w:name w:val="Нет списка211111"/>
    <w:uiPriority w:val="99"/>
    <w:semiHidden/>
    <w:unhideWhenUsed/>
    <w:qFormat/>
  </w:style>
  <w:style w:type="numbering" w:customStyle="1" w:styleId="11111111">
    <w:name w:val="Нет списка11111111"/>
    <w:uiPriority w:val="99"/>
    <w:semiHidden/>
    <w:unhideWhenUsed/>
    <w:qFormat/>
  </w:style>
  <w:style w:type="numbering" w:customStyle="1" w:styleId="621">
    <w:name w:val="Нет списка621"/>
    <w:uiPriority w:val="99"/>
    <w:semiHidden/>
    <w:unhideWhenUsed/>
    <w:qFormat/>
  </w:style>
  <w:style w:type="numbering" w:customStyle="1" w:styleId="1511">
    <w:name w:val="Нет списка1511"/>
    <w:uiPriority w:val="99"/>
    <w:semiHidden/>
    <w:unhideWhenUsed/>
    <w:qFormat/>
  </w:style>
  <w:style w:type="numbering" w:customStyle="1" w:styleId="2411">
    <w:name w:val="Нет списка2411"/>
    <w:uiPriority w:val="99"/>
    <w:semiHidden/>
    <w:unhideWhenUsed/>
    <w:qFormat/>
  </w:style>
  <w:style w:type="numbering" w:customStyle="1" w:styleId="11411">
    <w:name w:val="Нет списка11411"/>
    <w:uiPriority w:val="99"/>
    <w:semiHidden/>
    <w:unhideWhenUsed/>
    <w:qFormat/>
  </w:style>
  <w:style w:type="numbering" w:customStyle="1" w:styleId="3311">
    <w:name w:val="Нет списка3311"/>
    <w:uiPriority w:val="99"/>
    <w:semiHidden/>
    <w:unhideWhenUsed/>
    <w:qFormat/>
  </w:style>
  <w:style w:type="numbering" w:customStyle="1" w:styleId="12311">
    <w:name w:val="Нет списка12311"/>
    <w:uiPriority w:val="99"/>
    <w:semiHidden/>
    <w:unhideWhenUsed/>
    <w:qFormat/>
  </w:style>
  <w:style w:type="numbering" w:customStyle="1" w:styleId="21311">
    <w:name w:val="Нет списка21311"/>
    <w:uiPriority w:val="99"/>
    <w:semiHidden/>
    <w:unhideWhenUsed/>
    <w:qFormat/>
  </w:style>
  <w:style w:type="numbering" w:customStyle="1" w:styleId="111311">
    <w:name w:val="Нет списка111311"/>
    <w:uiPriority w:val="99"/>
    <w:semiHidden/>
    <w:unhideWhenUsed/>
    <w:qFormat/>
  </w:style>
  <w:style w:type="numbering" w:customStyle="1" w:styleId="4211">
    <w:name w:val="Нет списка4211"/>
    <w:uiPriority w:val="99"/>
    <w:semiHidden/>
    <w:unhideWhenUsed/>
    <w:qFormat/>
  </w:style>
  <w:style w:type="numbering" w:customStyle="1" w:styleId="13211">
    <w:name w:val="Нет списка13211"/>
    <w:uiPriority w:val="99"/>
    <w:semiHidden/>
    <w:unhideWhenUsed/>
    <w:qFormat/>
  </w:style>
  <w:style w:type="numbering" w:customStyle="1" w:styleId="22211">
    <w:name w:val="Нет списка22211"/>
    <w:uiPriority w:val="99"/>
    <w:semiHidden/>
    <w:unhideWhenUsed/>
    <w:qFormat/>
  </w:style>
  <w:style w:type="numbering" w:customStyle="1" w:styleId="112211">
    <w:name w:val="Нет списка112211"/>
    <w:uiPriority w:val="99"/>
    <w:semiHidden/>
    <w:unhideWhenUsed/>
    <w:qFormat/>
  </w:style>
  <w:style w:type="numbering" w:customStyle="1" w:styleId="31211">
    <w:name w:val="Нет списка31211"/>
    <w:uiPriority w:val="99"/>
    <w:semiHidden/>
    <w:unhideWhenUsed/>
    <w:qFormat/>
  </w:style>
  <w:style w:type="numbering" w:customStyle="1" w:styleId="121211">
    <w:name w:val="Нет списка121211"/>
    <w:uiPriority w:val="99"/>
    <w:semiHidden/>
    <w:unhideWhenUsed/>
    <w:qFormat/>
  </w:style>
  <w:style w:type="numbering" w:customStyle="1" w:styleId="211211">
    <w:name w:val="Нет списка211211"/>
    <w:uiPriority w:val="99"/>
    <w:semiHidden/>
    <w:unhideWhenUsed/>
    <w:qFormat/>
  </w:style>
  <w:style w:type="numbering" w:customStyle="1" w:styleId="1111211">
    <w:name w:val="Нет списка1111211"/>
    <w:uiPriority w:val="99"/>
    <w:semiHidden/>
    <w:unhideWhenUsed/>
    <w:qFormat/>
  </w:style>
  <w:style w:type="numbering" w:customStyle="1" w:styleId="5111">
    <w:name w:val="Нет списка5111"/>
    <w:uiPriority w:val="99"/>
    <w:semiHidden/>
    <w:unhideWhenUsed/>
    <w:qFormat/>
  </w:style>
  <w:style w:type="numbering" w:customStyle="1" w:styleId="6111">
    <w:name w:val="Нет списка6111"/>
    <w:uiPriority w:val="99"/>
    <w:semiHidden/>
    <w:unhideWhenUsed/>
    <w:qFormat/>
  </w:style>
  <w:style w:type="numbering" w:customStyle="1" w:styleId="811">
    <w:name w:val="Нет списка81"/>
    <w:uiPriority w:val="99"/>
    <w:semiHidden/>
    <w:unhideWhenUsed/>
    <w:qFormat/>
  </w:style>
  <w:style w:type="numbering" w:customStyle="1" w:styleId="911">
    <w:name w:val="Нет списка91"/>
    <w:semiHidden/>
    <w:qFormat/>
  </w:style>
  <w:style w:type="numbering" w:customStyle="1" w:styleId="1010">
    <w:name w:val="Нет списка101"/>
    <w:semiHidden/>
    <w:qFormat/>
  </w:style>
  <w:style w:type="numbering" w:customStyle="1" w:styleId="200">
    <w:name w:val="Нет списка20"/>
    <w:uiPriority w:val="99"/>
    <w:semiHidden/>
    <w:unhideWhenUsed/>
    <w:qFormat/>
  </w:style>
  <w:style w:type="numbering" w:customStyle="1" w:styleId="117">
    <w:name w:val="Нет списка117"/>
    <w:uiPriority w:val="99"/>
    <w:semiHidden/>
    <w:unhideWhenUsed/>
    <w:qFormat/>
  </w:style>
  <w:style w:type="numbering" w:customStyle="1" w:styleId="118">
    <w:name w:val="Нет списка118"/>
    <w:uiPriority w:val="99"/>
    <w:semiHidden/>
    <w:unhideWhenUsed/>
    <w:qFormat/>
  </w:style>
  <w:style w:type="numbering" w:customStyle="1" w:styleId="270">
    <w:name w:val="Нет списка27"/>
    <w:uiPriority w:val="99"/>
    <w:semiHidden/>
    <w:unhideWhenUsed/>
    <w:qFormat/>
  </w:style>
  <w:style w:type="numbering" w:customStyle="1" w:styleId="1116">
    <w:name w:val="Нет списка1116"/>
    <w:uiPriority w:val="99"/>
    <w:semiHidden/>
    <w:unhideWhenUsed/>
    <w:qFormat/>
  </w:style>
  <w:style w:type="numbering" w:customStyle="1" w:styleId="360">
    <w:name w:val="Нет списка36"/>
    <w:uiPriority w:val="99"/>
    <w:semiHidden/>
    <w:unhideWhenUsed/>
    <w:qFormat/>
  </w:style>
  <w:style w:type="numbering" w:customStyle="1" w:styleId="126">
    <w:name w:val="Нет списка126"/>
    <w:uiPriority w:val="99"/>
    <w:semiHidden/>
    <w:unhideWhenUsed/>
    <w:qFormat/>
  </w:style>
  <w:style w:type="numbering" w:customStyle="1" w:styleId="2160">
    <w:name w:val="Нет списка216"/>
    <w:uiPriority w:val="99"/>
    <w:semiHidden/>
    <w:unhideWhenUsed/>
    <w:qFormat/>
  </w:style>
  <w:style w:type="numbering" w:customStyle="1" w:styleId="11115">
    <w:name w:val="Нет списка11115"/>
    <w:uiPriority w:val="99"/>
    <w:semiHidden/>
    <w:unhideWhenUsed/>
    <w:qFormat/>
  </w:style>
  <w:style w:type="numbering" w:customStyle="1" w:styleId="450">
    <w:name w:val="Нет списка45"/>
    <w:uiPriority w:val="99"/>
    <w:semiHidden/>
    <w:unhideWhenUsed/>
    <w:qFormat/>
  </w:style>
  <w:style w:type="numbering" w:customStyle="1" w:styleId="135">
    <w:name w:val="Нет списка135"/>
    <w:uiPriority w:val="99"/>
    <w:semiHidden/>
    <w:unhideWhenUsed/>
    <w:qFormat/>
  </w:style>
  <w:style w:type="numbering" w:customStyle="1" w:styleId="225">
    <w:name w:val="Нет списка225"/>
    <w:uiPriority w:val="99"/>
    <w:semiHidden/>
    <w:unhideWhenUsed/>
    <w:qFormat/>
  </w:style>
  <w:style w:type="numbering" w:customStyle="1" w:styleId="1125">
    <w:name w:val="Нет списка1125"/>
    <w:uiPriority w:val="99"/>
    <w:semiHidden/>
    <w:unhideWhenUsed/>
    <w:qFormat/>
  </w:style>
  <w:style w:type="numbering" w:customStyle="1" w:styleId="315">
    <w:name w:val="Нет списка315"/>
    <w:uiPriority w:val="99"/>
    <w:semiHidden/>
    <w:unhideWhenUsed/>
    <w:qFormat/>
  </w:style>
  <w:style w:type="numbering" w:customStyle="1" w:styleId="1215">
    <w:name w:val="Нет списка1215"/>
    <w:uiPriority w:val="99"/>
    <w:semiHidden/>
    <w:unhideWhenUsed/>
    <w:qFormat/>
  </w:style>
  <w:style w:type="numbering" w:customStyle="1" w:styleId="2115">
    <w:name w:val="Нет списка2115"/>
    <w:uiPriority w:val="99"/>
    <w:semiHidden/>
    <w:unhideWhenUsed/>
    <w:qFormat/>
  </w:style>
  <w:style w:type="numbering" w:customStyle="1" w:styleId="111113">
    <w:name w:val="Нет списка111113"/>
    <w:uiPriority w:val="99"/>
    <w:semiHidden/>
    <w:unhideWhenUsed/>
    <w:qFormat/>
  </w:style>
  <w:style w:type="numbering" w:customStyle="1" w:styleId="540">
    <w:name w:val="Нет списка54"/>
    <w:uiPriority w:val="99"/>
    <w:semiHidden/>
    <w:unhideWhenUsed/>
    <w:qFormat/>
  </w:style>
  <w:style w:type="numbering" w:customStyle="1" w:styleId="143">
    <w:name w:val="Нет списка143"/>
    <w:uiPriority w:val="99"/>
    <w:semiHidden/>
    <w:unhideWhenUsed/>
    <w:qFormat/>
  </w:style>
  <w:style w:type="numbering" w:customStyle="1" w:styleId="233">
    <w:name w:val="Нет списка233"/>
    <w:uiPriority w:val="99"/>
    <w:semiHidden/>
    <w:unhideWhenUsed/>
    <w:qFormat/>
  </w:style>
  <w:style w:type="numbering" w:customStyle="1" w:styleId="1133">
    <w:name w:val="Нет списка1133"/>
    <w:uiPriority w:val="99"/>
    <w:semiHidden/>
    <w:unhideWhenUsed/>
    <w:qFormat/>
  </w:style>
  <w:style w:type="numbering" w:customStyle="1" w:styleId="323">
    <w:name w:val="Нет списка323"/>
    <w:uiPriority w:val="99"/>
    <w:semiHidden/>
    <w:unhideWhenUsed/>
    <w:qFormat/>
  </w:style>
  <w:style w:type="numbering" w:customStyle="1" w:styleId="1223">
    <w:name w:val="Нет списка1223"/>
    <w:uiPriority w:val="99"/>
    <w:semiHidden/>
    <w:unhideWhenUsed/>
    <w:qFormat/>
  </w:style>
  <w:style w:type="numbering" w:customStyle="1" w:styleId="2123">
    <w:name w:val="Нет списка2123"/>
    <w:uiPriority w:val="99"/>
    <w:semiHidden/>
    <w:unhideWhenUsed/>
    <w:qFormat/>
  </w:style>
  <w:style w:type="numbering" w:customStyle="1" w:styleId="11123">
    <w:name w:val="Нет списка11123"/>
    <w:uiPriority w:val="99"/>
    <w:semiHidden/>
    <w:unhideWhenUsed/>
    <w:qFormat/>
  </w:style>
  <w:style w:type="numbering" w:customStyle="1" w:styleId="413">
    <w:name w:val="Нет списка413"/>
    <w:uiPriority w:val="99"/>
    <w:semiHidden/>
    <w:unhideWhenUsed/>
    <w:qFormat/>
  </w:style>
  <w:style w:type="numbering" w:customStyle="1" w:styleId="1313">
    <w:name w:val="Нет списка1313"/>
    <w:uiPriority w:val="99"/>
    <w:semiHidden/>
    <w:unhideWhenUsed/>
    <w:qFormat/>
  </w:style>
  <w:style w:type="numbering" w:customStyle="1" w:styleId="2213">
    <w:name w:val="Нет списка2213"/>
    <w:uiPriority w:val="99"/>
    <w:semiHidden/>
    <w:unhideWhenUsed/>
    <w:qFormat/>
  </w:style>
  <w:style w:type="numbering" w:customStyle="1" w:styleId="11213">
    <w:name w:val="Нет списка11213"/>
    <w:uiPriority w:val="99"/>
    <w:semiHidden/>
    <w:unhideWhenUsed/>
    <w:qFormat/>
  </w:style>
  <w:style w:type="numbering" w:customStyle="1" w:styleId="3113">
    <w:name w:val="Нет списка3113"/>
    <w:uiPriority w:val="99"/>
    <w:semiHidden/>
    <w:unhideWhenUsed/>
    <w:qFormat/>
  </w:style>
  <w:style w:type="numbering" w:customStyle="1" w:styleId="12113">
    <w:name w:val="Нет списка12113"/>
    <w:uiPriority w:val="99"/>
    <w:semiHidden/>
    <w:unhideWhenUsed/>
    <w:qFormat/>
  </w:style>
  <w:style w:type="numbering" w:customStyle="1" w:styleId="21113">
    <w:name w:val="Нет списка21113"/>
    <w:uiPriority w:val="99"/>
    <w:semiHidden/>
    <w:unhideWhenUsed/>
    <w:qFormat/>
  </w:style>
  <w:style w:type="numbering" w:customStyle="1" w:styleId="1111113">
    <w:name w:val="Нет списка1111113"/>
    <w:uiPriority w:val="99"/>
    <w:semiHidden/>
    <w:unhideWhenUsed/>
    <w:qFormat/>
  </w:style>
  <w:style w:type="numbering" w:customStyle="1" w:styleId="640">
    <w:name w:val="Нет списка64"/>
    <w:uiPriority w:val="99"/>
    <w:semiHidden/>
    <w:unhideWhenUsed/>
    <w:qFormat/>
  </w:style>
  <w:style w:type="numbering" w:customStyle="1" w:styleId="153">
    <w:name w:val="Нет списка153"/>
    <w:uiPriority w:val="99"/>
    <w:semiHidden/>
    <w:unhideWhenUsed/>
    <w:qFormat/>
  </w:style>
  <w:style w:type="numbering" w:customStyle="1" w:styleId="243">
    <w:name w:val="Нет списка243"/>
    <w:uiPriority w:val="99"/>
    <w:semiHidden/>
    <w:unhideWhenUsed/>
    <w:qFormat/>
  </w:style>
  <w:style w:type="numbering" w:customStyle="1" w:styleId="1143">
    <w:name w:val="Нет списка1143"/>
    <w:uiPriority w:val="99"/>
    <w:semiHidden/>
    <w:unhideWhenUsed/>
    <w:qFormat/>
  </w:style>
  <w:style w:type="numbering" w:customStyle="1" w:styleId="333">
    <w:name w:val="Нет списка333"/>
    <w:uiPriority w:val="99"/>
    <w:semiHidden/>
    <w:unhideWhenUsed/>
    <w:qFormat/>
  </w:style>
  <w:style w:type="numbering" w:customStyle="1" w:styleId="1233">
    <w:name w:val="Нет списка1233"/>
    <w:uiPriority w:val="99"/>
    <w:semiHidden/>
    <w:unhideWhenUsed/>
    <w:qFormat/>
  </w:style>
  <w:style w:type="numbering" w:customStyle="1" w:styleId="2133">
    <w:name w:val="Нет списка2133"/>
    <w:uiPriority w:val="99"/>
    <w:semiHidden/>
    <w:unhideWhenUsed/>
    <w:qFormat/>
  </w:style>
  <w:style w:type="numbering" w:customStyle="1" w:styleId="11133">
    <w:name w:val="Нет списка11133"/>
    <w:uiPriority w:val="99"/>
    <w:semiHidden/>
    <w:unhideWhenUsed/>
    <w:qFormat/>
  </w:style>
  <w:style w:type="numbering" w:customStyle="1" w:styleId="423">
    <w:name w:val="Нет списка423"/>
    <w:uiPriority w:val="99"/>
    <w:semiHidden/>
    <w:unhideWhenUsed/>
    <w:qFormat/>
  </w:style>
  <w:style w:type="numbering" w:customStyle="1" w:styleId="1323">
    <w:name w:val="Нет списка1323"/>
    <w:uiPriority w:val="99"/>
    <w:semiHidden/>
    <w:unhideWhenUsed/>
    <w:qFormat/>
  </w:style>
  <w:style w:type="numbering" w:customStyle="1" w:styleId="2223">
    <w:name w:val="Нет списка2223"/>
    <w:uiPriority w:val="99"/>
    <w:semiHidden/>
    <w:unhideWhenUsed/>
    <w:qFormat/>
  </w:style>
  <w:style w:type="numbering" w:customStyle="1" w:styleId="11223">
    <w:name w:val="Нет списка11223"/>
    <w:uiPriority w:val="99"/>
    <w:semiHidden/>
    <w:unhideWhenUsed/>
    <w:qFormat/>
  </w:style>
  <w:style w:type="numbering" w:customStyle="1" w:styleId="3123">
    <w:name w:val="Нет списка3123"/>
    <w:uiPriority w:val="99"/>
    <w:semiHidden/>
    <w:unhideWhenUsed/>
    <w:qFormat/>
  </w:style>
  <w:style w:type="numbering" w:customStyle="1" w:styleId="12123">
    <w:name w:val="Нет списка12123"/>
    <w:uiPriority w:val="99"/>
    <w:semiHidden/>
    <w:unhideWhenUsed/>
    <w:qFormat/>
  </w:style>
  <w:style w:type="numbering" w:customStyle="1" w:styleId="21123">
    <w:name w:val="Нет списка21123"/>
    <w:uiPriority w:val="99"/>
    <w:semiHidden/>
    <w:unhideWhenUsed/>
    <w:qFormat/>
  </w:style>
  <w:style w:type="numbering" w:customStyle="1" w:styleId="111123">
    <w:name w:val="Нет списка111123"/>
    <w:uiPriority w:val="99"/>
    <w:semiHidden/>
    <w:unhideWhenUsed/>
    <w:qFormat/>
  </w:style>
  <w:style w:type="numbering" w:customStyle="1" w:styleId="513">
    <w:name w:val="Нет списка513"/>
    <w:uiPriority w:val="99"/>
    <w:semiHidden/>
    <w:unhideWhenUsed/>
    <w:qFormat/>
  </w:style>
  <w:style w:type="numbering" w:customStyle="1" w:styleId="613">
    <w:name w:val="Нет списка613"/>
    <w:uiPriority w:val="99"/>
    <w:semiHidden/>
    <w:unhideWhenUsed/>
    <w:qFormat/>
  </w:style>
  <w:style w:type="numbering" w:customStyle="1" w:styleId="720">
    <w:name w:val="Нет списка72"/>
    <w:uiPriority w:val="99"/>
    <w:semiHidden/>
    <w:unhideWhenUsed/>
    <w:qFormat/>
  </w:style>
  <w:style w:type="numbering" w:customStyle="1" w:styleId="162">
    <w:name w:val="Нет списка162"/>
    <w:uiPriority w:val="99"/>
    <w:semiHidden/>
    <w:unhideWhenUsed/>
    <w:qFormat/>
  </w:style>
  <w:style w:type="numbering" w:customStyle="1" w:styleId="1152">
    <w:name w:val="Нет списка1152"/>
    <w:uiPriority w:val="99"/>
    <w:semiHidden/>
    <w:unhideWhenUsed/>
    <w:qFormat/>
  </w:style>
  <w:style w:type="numbering" w:customStyle="1" w:styleId="252">
    <w:name w:val="Нет списка252"/>
    <w:uiPriority w:val="99"/>
    <w:semiHidden/>
    <w:unhideWhenUsed/>
    <w:qFormat/>
  </w:style>
  <w:style w:type="numbering" w:customStyle="1" w:styleId="11142">
    <w:name w:val="Нет списка11142"/>
    <w:uiPriority w:val="99"/>
    <w:semiHidden/>
    <w:unhideWhenUsed/>
    <w:qFormat/>
  </w:style>
  <w:style w:type="numbering" w:customStyle="1" w:styleId="342">
    <w:name w:val="Нет списка342"/>
    <w:uiPriority w:val="99"/>
    <w:semiHidden/>
    <w:unhideWhenUsed/>
    <w:qFormat/>
  </w:style>
  <w:style w:type="numbering" w:customStyle="1" w:styleId="1242">
    <w:name w:val="Нет списка1242"/>
    <w:uiPriority w:val="99"/>
    <w:semiHidden/>
    <w:unhideWhenUsed/>
    <w:qFormat/>
  </w:style>
  <w:style w:type="numbering" w:customStyle="1" w:styleId="2142">
    <w:name w:val="Нет списка2142"/>
    <w:uiPriority w:val="99"/>
    <w:semiHidden/>
    <w:unhideWhenUsed/>
    <w:qFormat/>
  </w:style>
  <w:style w:type="numbering" w:customStyle="1" w:styleId="111132">
    <w:name w:val="Нет списка111132"/>
    <w:uiPriority w:val="99"/>
    <w:semiHidden/>
    <w:unhideWhenUsed/>
    <w:qFormat/>
  </w:style>
  <w:style w:type="numbering" w:customStyle="1" w:styleId="432">
    <w:name w:val="Нет списка432"/>
    <w:uiPriority w:val="99"/>
    <w:semiHidden/>
    <w:unhideWhenUsed/>
    <w:qFormat/>
  </w:style>
  <w:style w:type="numbering" w:customStyle="1" w:styleId="1332">
    <w:name w:val="Нет списка1332"/>
    <w:uiPriority w:val="99"/>
    <w:semiHidden/>
    <w:unhideWhenUsed/>
    <w:qFormat/>
  </w:style>
  <w:style w:type="numbering" w:customStyle="1" w:styleId="2232">
    <w:name w:val="Нет списка2232"/>
    <w:uiPriority w:val="99"/>
    <w:semiHidden/>
    <w:unhideWhenUsed/>
    <w:qFormat/>
  </w:style>
  <w:style w:type="numbering" w:customStyle="1" w:styleId="11232">
    <w:name w:val="Нет списка11232"/>
    <w:uiPriority w:val="99"/>
    <w:semiHidden/>
    <w:unhideWhenUsed/>
    <w:qFormat/>
  </w:style>
  <w:style w:type="numbering" w:customStyle="1" w:styleId="3132">
    <w:name w:val="Нет списка3132"/>
    <w:uiPriority w:val="99"/>
    <w:semiHidden/>
    <w:unhideWhenUsed/>
    <w:qFormat/>
  </w:style>
  <w:style w:type="numbering" w:customStyle="1" w:styleId="12132">
    <w:name w:val="Нет списка12132"/>
    <w:uiPriority w:val="99"/>
    <w:semiHidden/>
    <w:unhideWhenUsed/>
    <w:qFormat/>
  </w:style>
  <w:style w:type="numbering" w:customStyle="1" w:styleId="21132">
    <w:name w:val="Нет списка21132"/>
    <w:uiPriority w:val="99"/>
    <w:semiHidden/>
    <w:unhideWhenUsed/>
    <w:qFormat/>
  </w:style>
  <w:style w:type="numbering" w:customStyle="1" w:styleId="11111112">
    <w:name w:val="Нет списка11111112"/>
    <w:uiPriority w:val="99"/>
    <w:semiHidden/>
    <w:unhideWhenUsed/>
    <w:qFormat/>
  </w:style>
  <w:style w:type="numbering" w:customStyle="1" w:styleId="522">
    <w:name w:val="Нет списка522"/>
    <w:uiPriority w:val="99"/>
    <w:semiHidden/>
    <w:unhideWhenUsed/>
    <w:qFormat/>
  </w:style>
  <w:style w:type="numbering" w:customStyle="1" w:styleId="1412">
    <w:name w:val="Нет списка1412"/>
    <w:uiPriority w:val="99"/>
    <w:semiHidden/>
    <w:unhideWhenUsed/>
    <w:qFormat/>
  </w:style>
  <w:style w:type="numbering" w:customStyle="1" w:styleId="2312">
    <w:name w:val="Нет списка2312"/>
    <w:uiPriority w:val="99"/>
    <w:semiHidden/>
    <w:unhideWhenUsed/>
    <w:qFormat/>
  </w:style>
  <w:style w:type="numbering" w:customStyle="1" w:styleId="11312">
    <w:name w:val="Нет списка11312"/>
    <w:uiPriority w:val="99"/>
    <w:semiHidden/>
    <w:unhideWhenUsed/>
    <w:qFormat/>
  </w:style>
  <w:style w:type="numbering" w:customStyle="1" w:styleId="3212">
    <w:name w:val="Нет списка3212"/>
    <w:uiPriority w:val="99"/>
    <w:semiHidden/>
    <w:unhideWhenUsed/>
    <w:qFormat/>
  </w:style>
  <w:style w:type="numbering" w:customStyle="1" w:styleId="12212">
    <w:name w:val="Нет списка12212"/>
    <w:uiPriority w:val="99"/>
    <w:semiHidden/>
    <w:unhideWhenUsed/>
    <w:qFormat/>
  </w:style>
  <w:style w:type="numbering" w:customStyle="1" w:styleId="21212">
    <w:name w:val="Нет списка21212"/>
    <w:uiPriority w:val="99"/>
    <w:semiHidden/>
    <w:unhideWhenUsed/>
    <w:qFormat/>
  </w:style>
  <w:style w:type="numbering" w:customStyle="1" w:styleId="111212">
    <w:name w:val="Нет списка111212"/>
    <w:uiPriority w:val="99"/>
    <w:semiHidden/>
    <w:unhideWhenUsed/>
    <w:qFormat/>
  </w:style>
  <w:style w:type="numbering" w:customStyle="1" w:styleId="4112">
    <w:name w:val="Нет списка4112"/>
    <w:uiPriority w:val="99"/>
    <w:semiHidden/>
    <w:unhideWhenUsed/>
    <w:qFormat/>
  </w:style>
  <w:style w:type="numbering" w:customStyle="1" w:styleId="13112">
    <w:name w:val="Нет списка13112"/>
    <w:uiPriority w:val="99"/>
    <w:semiHidden/>
    <w:unhideWhenUsed/>
    <w:qFormat/>
  </w:style>
  <w:style w:type="numbering" w:customStyle="1" w:styleId="22112">
    <w:name w:val="Нет списка22112"/>
    <w:uiPriority w:val="99"/>
    <w:semiHidden/>
    <w:unhideWhenUsed/>
    <w:qFormat/>
  </w:style>
  <w:style w:type="numbering" w:customStyle="1" w:styleId="112112">
    <w:name w:val="Нет списка112112"/>
    <w:uiPriority w:val="99"/>
    <w:semiHidden/>
    <w:unhideWhenUsed/>
    <w:qFormat/>
  </w:style>
  <w:style w:type="numbering" w:customStyle="1" w:styleId="31112">
    <w:name w:val="Нет списка31112"/>
    <w:uiPriority w:val="99"/>
    <w:semiHidden/>
    <w:unhideWhenUsed/>
    <w:qFormat/>
  </w:style>
  <w:style w:type="numbering" w:customStyle="1" w:styleId="121112">
    <w:name w:val="Нет списка121112"/>
    <w:uiPriority w:val="99"/>
    <w:semiHidden/>
    <w:unhideWhenUsed/>
    <w:qFormat/>
  </w:style>
  <w:style w:type="numbering" w:customStyle="1" w:styleId="211112">
    <w:name w:val="Нет списка211112"/>
    <w:uiPriority w:val="99"/>
    <w:semiHidden/>
    <w:unhideWhenUsed/>
    <w:qFormat/>
  </w:style>
  <w:style w:type="numbering" w:customStyle="1" w:styleId="111111111">
    <w:name w:val="Нет списка111111111"/>
    <w:uiPriority w:val="99"/>
    <w:semiHidden/>
    <w:unhideWhenUsed/>
    <w:qFormat/>
  </w:style>
  <w:style w:type="numbering" w:customStyle="1" w:styleId="622">
    <w:name w:val="Нет списка622"/>
    <w:uiPriority w:val="99"/>
    <w:semiHidden/>
    <w:unhideWhenUsed/>
    <w:qFormat/>
  </w:style>
  <w:style w:type="numbering" w:customStyle="1" w:styleId="1512">
    <w:name w:val="Нет списка1512"/>
    <w:uiPriority w:val="99"/>
    <w:semiHidden/>
    <w:unhideWhenUsed/>
    <w:qFormat/>
  </w:style>
  <w:style w:type="numbering" w:customStyle="1" w:styleId="2412">
    <w:name w:val="Нет списка2412"/>
    <w:uiPriority w:val="99"/>
    <w:semiHidden/>
    <w:unhideWhenUsed/>
    <w:qFormat/>
  </w:style>
  <w:style w:type="numbering" w:customStyle="1" w:styleId="11412">
    <w:name w:val="Нет списка11412"/>
    <w:uiPriority w:val="99"/>
    <w:semiHidden/>
    <w:unhideWhenUsed/>
    <w:qFormat/>
  </w:style>
  <w:style w:type="numbering" w:customStyle="1" w:styleId="3312">
    <w:name w:val="Нет списка3312"/>
    <w:uiPriority w:val="99"/>
    <w:semiHidden/>
    <w:unhideWhenUsed/>
    <w:qFormat/>
  </w:style>
  <w:style w:type="numbering" w:customStyle="1" w:styleId="12312">
    <w:name w:val="Нет списка12312"/>
    <w:uiPriority w:val="99"/>
    <w:semiHidden/>
    <w:unhideWhenUsed/>
    <w:qFormat/>
  </w:style>
  <w:style w:type="numbering" w:customStyle="1" w:styleId="21312">
    <w:name w:val="Нет списка21312"/>
    <w:uiPriority w:val="99"/>
    <w:semiHidden/>
    <w:unhideWhenUsed/>
    <w:qFormat/>
  </w:style>
  <w:style w:type="numbering" w:customStyle="1" w:styleId="111312">
    <w:name w:val="Нет списка111312"/>
    <w:uiPriority w:val="99"/>
    <w:semiHidden/>
    <w:unhideWhenUsed/>
    <w:qFormat/>
  </w:style>
  <w:style w:type="numbering" w:customStyle="1" w:styleId="4212">
    <w:name w:val="Нет списка4212"/>
    <w:uiPriority w:val="99"/>
    <w:semiHidden/>
    <w:unhideWhenUsed/>
    <w:qFormat/>
  </w:style>
  <w:style w:type="numbering" w:customStyle="1" w:styleId="13212">
    <w:name w:val="Нет списка13212"/>
    <w:uiPriority w:val="99"/>
    <w:semiHidden/>
    <w:unhideWhenUsed/>
    <w:qFormat/>
  </w:style>
  <w:style w:type="numbering" w:customStyle="1" w:styleId="22212">
    <w:name w:val="Нет списка22212"/>
    <w:uiPriority w:val="99"/>
    <w:semiHidden/>
    <w:unhideWhenUsed/>
    <w:qFormat/>
  </w:style>
  <w:style w:type="numbering" w:customStyle="1" w:styleId="112212">
    <w:name w:val="Нет списка112212"/>
    <w:uiPriority w:val="99"/>
    <w:semiHidden/>
    <w:unhideWhenUsed/>
    <w:qFormat/>
  </w:style>
  <w:style w:type="numbering" w:customStyle="1" w:styleId="31212">
    <w:name w:val="Нет списка31212"/>
    <w:uiPriority w:val="99"/>
    <w:semiHidden/>
    <w:unhideWhenUsed/>
    <w:qFormat/>
  </w:style>
  <w:style w:type="numbering" w:customStyle="1" w:styleId="121212">
    <w:name w:val="Нет списка121212"/>
    <w:uiPriority w:val="99"/>
    <w:semiHidden/>
    <w:unhideWhenUsed/>
    <w:qFormat/>
  </w:style>
  <w:style w:type="numbering" w:customStyle="1" w:styleId="211212">
    <w:name w:val="Нет списка211212"/>
    <w:uiPriority w:val="99"/>
    <w:semiHidden/>
    <w:unhideWhenUsed/>
    <w:qFormat/>
  </w:style>
  <w:style w:type="numbering" w:customStyle="1" w:styleId="1111212">
    <w:name w:val="Нет списка1111212"/>
    <w:uiPriority w:val="99"/>
    <w:semiHidden/>
    <w:unhideWhenUsed/>
    <w:qFormat/>
  </w:style>
  <w:style w:type="numbering" w:customStyle="1" w:styleId="5112">
    <w:name w:val="Нет списка5112"/>
    <w:uiPriority w:val="99"/>
    <w:semiHidden/>
    <w:unhideWhenUsed/>
    <w:qFormat/>
  </w:style>
  <w:style w:type="numbering" w:customStyle="1" w:styleId="6112">
    <w:name w:val="Нет списка6112"/>
    <w:uiPriority w:val="99"/>
    <w:semiHidden/>
    <w:unhideWhenUsed/>
    <w:qFormat/>
  </w:style>
  <w:style w:type="numbering" w:customStyle="1" w:styleId="820">
    <w:name w:val="Нет списка82"/>
    <w:uiPriority w:val="99"/>
    <w:semiHidden/>
    <w:unhideWhenUsed/>
    <w:qFormat/>
  </w:style>
  <w:style w:type="numbering" w:customStyle="1" w:styleId="920">
    <w:name w:val="Нет списка92"/>
    <w:semiHidden/>
    <w:qFormat/>
  </w:style>
  <w:style w:type="numbering" w:customStyle="1" w:styleId="102">
    <w:name w:val="Нет списка102"/>
    <w:semiHidden/>
    <w:qFormat/>
  </w:style>
  <w:style w:type="numbering" w:customStyle="1" w:styleId="280">
    <w:name w:val="Нет списка28"/>
    <w:uiPriority w:val="99"/>
    <w:semiHidden/>
    <w:unhideWhenUsed/>
    <w:qFormat/>
  </w:style>
  <w:style w:type="numbering" w:customStyle="1" w:styleId="119">
    <w:name w:val="Нет списка119"/>
    <w:uiPriority w:val="99"/>
    <w:semiHidden/>
    <w:unhideWhenUsed/>
    <w:qFormat/>
  </w:style>
  <w:style w:type="numbering" w:customStyle="1" w:styleId="11100">
    <w:name w:val="Нет списка1110"/>
    <w:uiPriority w:val="99"/>
    <w:semiHidden/>
    <w:unhideWhenUsed/>
    <w:qFormat/>
  </w:style>
  <w:style w:type="numbering" w:customStyle="1" w:styleId="290">
    <w:name w:val="Нет списка29"/>
    <w:uiPriority w:val="99"/>
    <w:semiHidden/>
    <w:unhideWhenUsed/>
    <w:qFormat/>
  </w:style>
  <w:style w:type="numbering" w:customStyle="1" w:styleId="1117">
    <w:name w:val="Нет списка1117"/>
    <w:uiPriority w:val="99"/>
    <w:semiHidden/>
    <w:unhideWhenUsed/>
    <w:qFormat/>
  </w:style>
  <w:style w:type="numbering" w:customStyle="1" w:styleId="370">
    <w:name w:val="Нет списка37"/>
    <w:uiPriority w:val="99"/>
    <w:semiHidden/>
    <w:unhideWhenUsed/>
    <w:qFormat/>
  </w:style>
  <w:style w:type="numbering" w:customStyle="1" w:styleId="127">
    <w:name w:val="Нет списка127"/>
    <w:uiPriority w:val="99"/>
    <w:semiHidden/>
    <w:unhideWhenUsed/>
    <w:qFormat/>
  </w:style>
  <w:style w:type="numbering" w:customStyle="1" w:styleId="2170">
    <w:name w:val="Нет списка217"/>
    <w:uiPriority w:val="99"/>
    <w:semiHidden/>
    <w:unhideWhenUsed/>
    <w:qFormat/>
  </w:style>
  <w:style w:type="numbering" w:customStyle="1" w:styleId="11116">
    <w:name w:val="Нет списка11116"/>
    <w:uiPriority w:val="99"/>
    <w:semiHidden/>
    <w:unhideWhenUsed/>
    <w:qFormat/>
  </w:style>
  <w:style w:type="numbering" w:customStyle="1" w:styleId="460">
    <w:name w:val="Нет списка46"/>
    <w:uiPriority w:val="99"/>
    <w:semiHidden/>
    <w:unhideWhenUsed/>
    <w:qFormat/>
  </w:style>
  <w:style w:type="numbering" w:customStyle="1" w:styleId="136">
    <w:name w:val="Нет списка136"/>
    <w:uiPriority w:val="99"/>
    <w:semiHidden/>
    <w:unhideWhenUsed/>
    <w:qFormat/>
  </w:style>
  <w:style w:type="numbering" w:customStyle="1" w:styleId="226">
    <w:name w:val="Нет списка226"/>
    <w:uiPriority w:val="99"/>
    <w:semiHidden/>
    <w:unhideWhenUsed/>
    <w:qFormat/>
  </w:style>
  <w:style w:type="numbering" w:customStyle="1" w:styleId="1126">
    <w:name w:val="Нет списка1126"/>
    <w:uiPriority w:val="99"/>
    <w:semiHidden/>
    <w:unhideWhenUsed/>
    <w:qFormat/>
  </w:style>
  <w:style w:type="numbering" w:customStyle="1" w:styleId="316">
    <w:name w:val="Нет списка316"/>
    <w:uiPriority w:val="99"/>
    <w:semiHidden/>
    <w:unhideWhenUsed/>
    <w:qFormat/>
  </w:style>
  <w:style w:type="numbering" w:customStyle="1" w:styleId="1216">
    <w:name w:val="Нет списка1216"/>
    <w:uiPriority w:val="99"/>
    <w:semiHidden/>
    <w:unhideWhenUsed/>
    <w:qFormat/>
  </w:style>
  <w:style w:type="numbering" w:customStyle="1" w:styleId="2116">
    <w:name w:val="Нет списка2116"/>
    <w:uiPriority w:val="99"/>
    <w:semiHidden/>
    <w:unhideWhenUsed/>
    <w:qFormat/>
  </w:style>
  <w:style w:type="numbering" w:customStyle="1" w:styleId="111114">
    <w:name w:val="Нет списка111114"/>
    <w:uiPriority w:val="99"/>
    <w:semiHidden/>
    <w:unhideWhenUsed/>
    <w:qFormat/>
  </w:style>
  <w:style w:type="numbering" w:customStyle="1" w:styleId="550">
    <w:name w:val="Нет списка55"/>
    <w:uiPriority w:val="99"/>
    <w:semiHidden/>
    <w:unhideWhenUsed/>
    <w:qFormat/>
  </w:style>
  <w:style w:type="numbering" w:customStyle="1" w:styleId="144">
    <w:name w:val="Нет списка144"/>
    <w:uiPriority w:val="99"/>
    <w:semiHidden/>
    <w:unhideWhenUsed/>
    <w:qFormat/>
  </w:style>
  <w:style w:type="numbering" w:customStyle="1" w:styleId="234">
    <w:name w:val="Нет списка234"/>
    <w:uiPriority w:val="99"/>
    <w:semiHidden/>
    <w:unhideWhenUsed/>
    <w:qFormat/>
  </w:style>
  <w:style w:type="numbering" w:customStyle="1" w:styleId="1134">
    <w:name w:val="Нет списка1134"/>
    <w:uiPriority w:val="99"/>
    <w:semiHidden/>
    <w:unhideWhenUsed/>
    <w:qFormat/>
  </w:style>
  <w:style w:type="numbering" w:customStyle="1" w:styleId="324">
    <w:name w:val="Нет списка324"/>
    <w:uiPriority w:val="99"/>
    <w:semiHidden/>
    <w:unhideWhenUsed/>
    <w:qFormat/>
  </w:style>
  <w:style w:type="numbering" w:customStyle="1" w:styleId="1224">
    <w:name w:val="Нет списка1224"/>
    <w:uiPriority w:val="99"/>
    <w:semiHidden/>
    <w:unhideWhenUsed/>
    <w:qFormat/>
  </w:style>
  <w:style w:type="numbering" w:customStyle="1" w:styleId="2124">
    <w:name w:val="Нет списка2124"/>
    <w:uiPriority w:val="99"/>
    <w:semiHidden/>
    <w:unhideWhenUsed/>
    <w:qFormat/>
  </w:style>
  <w:style w:type="numbering" w:customStyle="1" w:styleId="11124">
    <w:name w:val="Нет списка11124"/>
    <w:uiPriority w:val="99"/>
    <w:semiHidden/>
    <w:unhideWhenUsed/>
    <w:qFormat/>
  </w:style>
  <w:style w:type="numbering" w:customStyle="1" w:styleId="414">
    <w:name w:val="Нет списка414"/>
    <w:uiPriority w:val="99"/>
    <w:semiHidden/>
    <w:unhideWhenUsed/>
    <w:qFormat/>
  </w:style>
  <w:style w:type="numbering" w:customStyle="1" w:styleId="1314">
    <w:name w:val="Нет списка1314"/>
    <w:uiPriority w:val="99"/>
    <w:semiHidden/>
    <w:unhideWhenUsed/>
    <w:qFormat/>
  </w:style>
  <w:style w:type="numbering" w:customStyle="1" w:styleId="2214">
    <w:name w:val="Нет списка2214"/>
    <w:uiPriority w:val="99"/>
    <w:semiHidden/>
    <w:unhideWhenUsed/>
    <w:qFormat/>
  </w:style>
  <w:style w:type="numbering" w:customStyle="1" w:styleId="11214">
    <w:name w:val="Нет списка11214"/>
    <w:uiPriority w:val="99"/>
    <w:semiHidden/>
    <w:unhideWhenUsed/>
    <w:qFormat/>
  </w:style>
  <w:style w:type="numbering" w:customStyle="1" w:styleId="3114">
    <w:name w:val="Нет списка3114"/>
    <w:uiPriority w:val="99"/>
    <w:semiHidden/>
    <w:unhideWhenUsed/>
    <w:qFormat/>
  </w:style>
  <w:style w:type="numbering" w:customStyle="1" w:styleId="12114">
    <w:name w:val="Нет списка12114"/>
    <w:uiPriority w:val="99"/>
    <w:semiHidden/>
    <w:unhideWhenUsed/>
    <w:qFormat/>
  </w:style>
  <w:style w:type="numbering" w:customStyle="1" w:styleId="21114">
    <w:name w:val="Нет списка21114"/>
    <w:uiPriority w:val="99"/>
    <w:semiHidden/>
    <w:unhideWhenUsed/>
    <w:qFormat/>
  </w:style>
  <w:style w:type="numbering" w:customStyle="1" w:styleId="1111114">
    <w:name w:val="Нет списка1111114"/>
    <w:uiPriority w:val="99"/>
    <w:semiHidden/>
    <w:unhideWhenUsed/>
    <w:qFormat/>
  </w:style>
  <w:style w:type="numbering" w:customStyle="1" w:styleId="650">
    <w:name w:val="Нет списка65"/>
    <w:uiPriority w:val="99"/>
    <w:semiHidden/>
    <w:unhideWhenUsed/>
    <w:qFormat/>
  </w:style>
  <w:style w:type="numbering" w:customStyle="1" w:styleId="154">
    <w:name w:val="Нет списка154"/>
    <w:uiPriority w:val="99"/>
    <w:semiHidden/>
    <w:unhideWhenUsed/>
    <w:qFormat/>
  </w:style>
  <w:style w:type="numbering" w:customStyle="1" w:styleId="244">
    <w:name w:val="Нет списка244"/>
    <w:uiPriority w:val="99"/>
    <w:semiHidden/>
    <w:unhideWhenUsed/>
    <w:qFormat/>
  </w:style>
  <w:style w:type="numbering" w:customStyle="1" w:styleId="1144">
    <w:name w:val="Нет списка1144"/>
    <w:uiPriority w:val="99"/>
    <w:semiHidden/>
    <w:unhideWhenUsed/>
    <w:qFormat/>
  </w:style>
  <w:style w:type="numbering" w:customStyle="1" w:styleId="334">
    <w:name w:val="Нет списка334"/>
    <w:uiPriority w:val="99"/>
    <w:semiHidden/>
    <w:unhideWhenUsed/>
    <w:qFormat/>
  </w:style>
  <w:style w:type="numbering" w:customStyle="1" w:styleId="1234">
    <w:name w:val="Нет списка1234"/>
    <w:uiPriority w:val="99"/>
    <w:semiHidden/>
    <w:unhideWhenUsed/>
    <w:qFormat/>
  </w:style>
  <w:style w:type="numbering" w:customStyle="1" w:styleId="2134">
    <w:name w:val="Нет списка2134"/>
    <w:uiPriority w:val="99"/>
    <w:semiHidden/>
    <w:unhideWhenUsed/>
    <w:qFormat/>
  </w:style>
  <w:style w:type="numbering" w:customStyle="1" w:styleId="11134">
    <w:name w:val="Нет списка11134"/>
    <w:uiPriority w:val="99"/>
    <w:semiHidden/>
    <w:unhideWhenUsed/>
    <w:qFormat/>
  </w:style>
  <w:style w:type="numbering" w:customStyle="1" w:styleId="424">
    <w:name w:val="Нет списка424"/>
    <w:uiPriority w:val="99"/>
    <w:semiHidden/>
    <w:unhideWhenUsed/>
    <w:qFormat/>
  </w:style>
  <w:style w:type="numbering" w:customStyle="1" w:styleId="1324">
    <w:name w:val="Нет списка1324"/>
    <w:uiPriority w:val="99"/>
    <w:semiHidden/>
    <w:unhideWhenUsed/>
    <w:qFormat/>
  </w:style>
  <w:style w:type="numbering" w:customStyle="1" w:styleId="2224">
    <w:name w:val="Нет списка2224"/>
    <w:uiPriority w:val="99"/>
    <w:semiHidden/>
    <w:unhideWhenUsed/>
    <w:qFormat/>
  </w:style>
  <w:style w:type="numbering" w:customStyle="1" w:styleId="11224">
    <w:name w:val="Нет списка11224"/>
    <w:uiPriority w:val="99"/>
    <w:semiHidden/>
    <w:unhideWhenUsed/>
    <w:qFormat/>
  </w:style>
  <w:style w:type="numbering" w:customStyle="1" w:styleId="3124">
    <w:name w:val="Нет списка3124"/>
    <w:uiPriority w:val="99"/>
    <w:semiHidden/>
    <w:unhideWhenUsed/>
    <w:qFormat/>
  </w:style>
  <w:style w:type="numbering" w:customStyle="1" w:styleId="12124">
    <w:name w:val="Нет списка12124"/>
    <w:uiPriority w:val="99"/>
    <w:semiHidden/>
    <w:unhideWhenUsed/>
    <w:qFormat/>
  </w:style>
  <w:style w:type="numbering" w:customStyle="1" w:styleId="21124">
    <w:name w:val="Нет списка21124"/>
    <w:uiPriority w:val="99"/>
    <w:semiHidden/>
    <w:unhideWhenUsed/>
    <w:qFormat/>
  </w:style>
  <w:style w:type="numbering" w:customStyle="1" w:styleId="111124">
    <w:name w:val="Нет списка111124"/>
    <w:uiPriority w:val="99"/>
    <w:semiHidden/>
    <w:unhideWhenUsed/>
    <w:qFormat/>
  </w:style>
  <w:style w:type="numbering" w:customStyle="1" w:styleId="514">
    <w:name w:val="Нет списка514"/>
    <w:uiPriority w:val="99"/>
    <w:semiHidden/>
    <w:unhideWhenUsed/>
    <w:qFormat/>
  </w:style>
  <w:style w:type="numbering" w:customStyle="1" w:styleId="614">
    <w:name w:val="Нет списка614"/>
    <w:uiPriority w:val="99"/>
    <w:semiHidden/>
    <w:unhideWhenUsed/>
    <w:qFormat/>
  </w:style>
  <w:style w:type="numbering" w:customStyle="1" w:styleId="730">
    <w:name w:val="Нет списка73"/>
    <w:uiPriority w:val="99"/>
    <w:semiHidden/>
    <w:unhideWhenUsed/>
    <w:qFormat/>
  </w:style>
  <w:style w:type="numbering" w:customStyle="1" w:styleId="163">
    <w:name w:val="Нет списка163"/>
    <w:uiPriority w:val="99"/>
    <w:semiHidden/>
    <w:unhideWhenUsed/>
    <w:qFormat/>
  </w:style>
  <w:style w:type="numbering" w:customStyle="1" w:styleId="1153">
    <w:name w:val="Нет списка1153"/>
    <w:uiPriority w:val="99"/>
    <w:semiHidden/>
    <w:unhideWhenUsed/>
    <w:qFormat/>
  </w:style>
  <w:style w:type="numbering" w:customStyle="1" w:styleId="253">
    <w:name w:val="Нет списка253"/>
    <w:uiPriority w:val="99"/>
    <w:semiHidden/>
    <w:unhideWhenUsed/>
    <w:qFormat/>
  </w:style>
  <w:style w:type="numbering" w:customStyle="1" w:styleId="11143">
    <w:name w:val="Нет списка11143"/>
    <w:uiPriority w:val="99"/>
    <w:semiHidden/>
    <w:unhideWhenUsed/>
    <w:qFormat/>
  </w:style>
  <w:style w:type="numbering" w:customStyle="1" w:styleId="343">
    <w:name w:val="Нет списка343"/>
    <w:uiPriority w:val="99"/>
    <w:semiHidden/>
    <w:unhideWhenUsed/>
    <w:qFormat/>
  </w:style>
  <w:style w:type="numbering" w:customStyle="1" w:styleId="1243">
    <w:name w:val="Нет списка1243"/>
    <w:uiPriority w:val="99"/>
    <w:semiHidden/>
    <w:unhideWhenUsed/>
    <w:qFormat/>
  </w:style>
  <w:style w:type="numbering" w:customStyle="1" w:styleId="2143">
    <w:name w:val="Нет списка2143"/>
    <w:uiPriority w:val="99"/>
    <w:semiHidden/>
    <w:unhideWhenUsed/>
    <w:qFormat/>
  </w:style>
  <w:style w:type="numbering" w:customStyle="1" w:styleId="111133">
    <w:name w:val="Нет списка111133"/>
    <w:uiPriority w:val="99"/>
    <w:semiHidden/>
    <w:unhideWhenUsed/>
    <w:qFormat/>
  </w:style>
  <w:style w:type="numbering" w:customStyle="1" w:styleId="433">
    <w:name w:val="Нет списка433"/>
    <w:uiPriority w:val="99"/>
    <w:semiHidden/>
    <w:unhideWhenUsed/>
    <w:qFormat/>
  </w:style>
  <w:style w:type="numbering" w:customStyle="1" w:styleId="1333">
    <w:name w:val="Нет списка1333"/>
    <w:uiPriority w:val="99"/>
    <w:semiHidden/>
    <w:unhideWhenUsed/>
    <w:qFormat/>
  </w:style>
  <w:style w:type="numbering" w:customStyle="1" w:styleId="2233">
    <w:name w:val="Нет списка2233"/>
    <w:uiPriority w:val="99"/>
    <w:semiHidden/>
    <w:unhideWhenUsed/>
    <w:qFormat/>
  </w:style>
  <w:style w:type="numbering" w:customStyle="1" w:styleId="11233">
    <w:name w:val="Нет списка11233"/>
    <w:uiPriority w:val="99"/>
    <w:semiHidden/>
    <w:unhideWhenUsed/>
    <w:qFormat/>
  </w:style>
  <w:style w:type="numbering" w:customStyle="1" w:styleId="3133">
    <w:name w:val="Нет списка3133"/>
    <w:uiPriority w:val="99"/>
    <w:semiHidden/>
    <w:unhideWhenUsed/>
    <w:qFormat/>
  </w:style>
  <w:style w:type="numbering" w:customStyle="1" w:styleId="12133">
    <w:name w:val="Нет списка12133"/>
    <w:uiPriority w:val="99"/>
    <w:semiHidden/>
    <w:unhideWhenUsed/>
    <w:qFormat/>
  </w:style>
  <w:style w:type="numbering" w:customStyle="1" w:styleId="21133">
    <w:name w:val="Нет списка21133"/>
    <w:uiPriority w:val="99"/>
    <w:semiHidden/>
    <w:unhideWhenUsed/>
    <w:qFormat/>
  </w:style>
  <w:style w:type="numbering" w:customStyle="1" w:styleId="11111113">
    <w:name w:val="Нет списка11111113"/>
    <w:uiPriority w:val="99"/>
    <w:semiHidden/>
    <w:unhideWhenUsed/>
    <w:qFormat/>
  </w:style>
  <w:style w:type="numbering" w:customStyle="1" w:styleId="523">
    <w:name w:val="Нет списка523"/>
    <w:uiPriority w:val="99"/>
    <w:semiHidden/>
    <w:unhideWhenUsed/>
    <w:qFormat/>
  </w:style>
  <w:style w:type="numbering" w:customStyle="1" w:styleId="1413">
    <w:name w:val="Нет списка1413"/>
    <w:uiPriority w:val="99"/>
    <w:semiHidden/>
    <w:unhideWhenUsed/>
    <w:qFormat/>
  </w:style>
  <w:style w:type="numbering" w:customStyle="1" w:styleId="2313">
    <w:name w:val="Нет списка2313"/>
    <w:uiPriority w:val="99"/>
    <w:semiHidden/>
    <w:unhideWhenUsed/>
    <w:qFormat/>
  </w:style>
  <w:style w:type="numbering" w:customStyle="1" w:styleId="11313">
    <w:name w:val="Нет списка11313"/>
    <w:uiPriority w:val="99"/>
    <w:semiHidden/>
    <w:unhideWhenUsed/>
    <w:qFormat/>
  </w:style>
  <w:style w:type="numbering" w:customStyle="1" w:styleId="3213">
    <w:name w:val="Нет списка3213"/>
    <w:uiPriority w:val="99"/>
    <w:semiHidden/>
    <w:unhideWhenUsed/>
    <w:qFormat/>
  </w:style>
  <w:style w:type="numbering" w:customStyle="1" w:styleId="12213">
    <w:name w:val="Нет списка12213"/>
    <w:uiPriority w:val="99"/>
    <w:semiHidden/>
    <w:unhideWhenUsed/>
    <w:qFormat/>
  </w:style>
  <w:style w:type="numbering" w:customStyle="1" w:styleId="21213">
    <w:name w:val="Нет списка21213"/>
    <w:uiPriority w:val="99"/>
    <w:semiHidden/>
    <w:unhideWhenUsed/>
    <w:qFormat/>
  </w:style>
  <w:style w:type="numbering" w:customStyle="1" w:styleId="111213">
    <w:name w:val="Нет списка111213"/>
    <w:uiPriority w:val="99"/>
    <w:semiHidden/>
    <w:unhideWhenUsed/>
    <w:qFormat/>
  </w:style>
  <w:style w:type="numbering" w:customStyle="1" w:styleId="4113">
    <w:name w:val="Нет списка4113"/>
    <w:uiPriority w:val="99"/>
    <w:semiHidden/>
    <w:unhideWhenUsed/>
    <w:qFormat/>
  </w:style>
  <w:style w:type="numbering" w:customStyle="1" w:styleId="13113">
    <w:name w:val="Нет списка13113"/>
    <w:uiPriority w:val="99"/>
    <w:semiHidden/>
    <w:unhideWhenUsed/>
    <w:qFormat/>
  </w:style>
  <w:style w:type="numbering" w:customStyle="1" w:styleId="22113">
    <w:name w:val="Нет списка22113"/>
    <w:uiPriority w:val="99"/>
    <w:semiHidden/>
    <w:unhideWhenUsed/>
    <w:qFormat/>
  </w:style>
  <w:style w:type="numbering" w:customStyle="1" w:styleId="112113">
    <w:name w:val="Нет списка112113"/>
    <w:uiPriority w:val="99"/>
    <w:semiHidden/>
    <w:unhideWhenUsed/>
    <w:qFormat/>
  </w:style>
  <w:style w:type="numbering" w:customStyle="1" w:styleId="31113">
    <w:name w:val="Нет списка31113"/>
    <w:uiPriority w:val="99"/>
    <w:semiHidden/>
    <w:unhideWhenUsed/>
    <w:qFormat/>
  </w:style>
  <w:style w:type="numbering" w:customStyle="1" w:styleId="121113">
    <w:name w:val="Нет списка121113"/>
    <w:uiPriority w:val="99"/>
    <w:semiHidden/>
    <w:unhideWhenUsed/>
    <w:qFormat/>
  </w:style>
  <w:style w:type="numbering" w:customStyle="1" w:styleId="211113">
    <w:name w:val="Нет списка211113"/>
    <w:uiPriority w:val="99"/>
    <w:semiHidden/>
    <w:unhideWhenUsed/>
    <w:qFormat/>
  </w:style>
  <w:style w:type="numbering" w:customStyle="1" w:styleId="111111112">
    <w:name w:val="Нет списка111111112"/>
    <w:uiPriority w:val="99"/>
    <w:semiHidden/>
    <w:unhideWhenUsed/>
    <w:qFormat/>
  </w:style>
  <w:style w:type="numbering" w:customStyle="1" w:styleId="623">
    <w:name w:val="Нет списка623"/>
    <w:uiPriority w:val="99"/>
    <w:semiHidden/>
    <w:unhideWhenUsed/>
    <w:qFormat/>
  </w:style>
  <w:style w:type="numbering" w:customStyle="1" w:styleId="1513">
    <w:name w:val="Нет списка1513"/>
    <w:uiPriority w:val="99"/>
    <w:semiHidden/>
    <w:unhideWhenUsed/>
    <w:qFormat/>
  </w:style>
  <w:style w:type="numbering" w:customStyle="1" w:styleId="2413">
    <w:name w:val="Нет списка2413"/>
    <w:uiPriority w:val="99"/>
    <w:semiHidden/>
    <w:unhideWhenUsed/>
    <w:qFormat/>
  </w:style>
  <w:style w:type="numbering" w:customStyle="1" w:styleId="11413">
    <w:name w:val="Нет списка11413"/>
    <w:uiPriority w:val="99"/>
    <w:semiHidden/>
    <w:unhideWhenUsed/>
    <w:qFormat/>
  </w:style>
  <w:style w:type="numbering" w:customStyle="1" w:styleId="3313">
    <w:name w:val="Нет списка3313"/>
    <w:uiPriority w:val="99"/>
    <w:semiHidden/>
    <w:unhideWhenUsed/>
    <w:qFormat/>
  </w:style>
  <w:style w:type="numbering" w:customStyle="1" w:styleId="12313">
    <w:name w:val="Нет списка12313"/>
    <w:uiPriority w:val="99"/>
    <w:semiHidden/>
    <w:unhideWhenUsed/>
    <w:qFormat/>
  </w:style>
  <w:style w:type="numbering" w:customStyle="1" w:styleId="21313">
    <w:name w:val="Нет списка21313"/>
    <w:uiPriority w:val="99"/>
    <w:semiHidden/>
    <w:unhideWhenUsed/>
    <w:qFormat/>
  </w:style>
  <w:style w:type="numbering" w:customStyle="1" w:styleId="111313">
    <w:name w:val="Нет списка111313"/>
    <w:uiPriority w:val="99"/>
    <w:semiHidden/>
    <w:unhideWhenUsed/>
    <w:qFormat/>
  </w:style>
  <w:style w:type="numbering" w:customStyle="1" w:styleId="4213">
    <w:name w:val="Нет списка4213"/>
    <w:uiPriority w:val="99"/>
    <w:semiHidden/>
    <w:unhideWhenUsed/>
    <w:qFormat/>
  </w:style>
  <w:style w:type="numbering" w:customStyle="1" w:styleId="13213">
    <w:name w:val="Нет списка13213"/>
    <w:uiPriority w:val="99"/>
    <w:semiHidden/>
    <w:unhideWhenUsed/>
    <w:qFormat/>
  </w:style>
  <w:style w:type="numbering" w:customStyle="1" w:styleId="22213">
    <w:name w:val="Нет списка22213"/>
    <w:uiPriority w:val="99"/>
    <w:semiHidden/>
    <w:unhideWhenUsed/>
    <w:qFormat/>
  </w:style>
  <w:style w:type="numbering" w:customStyle="1" w:styleId="112213">
    <w:name w:val="Нет списка112213"/>
    <w:uiPriority w:val="99"/>
    <w:semiHidden/>
    <w:unhideWhenUsed/>
    <w:qFormat/>
  </w:style>
  <w:style w:type="numbering" w:customStyle="1" w:styleId="31213">
    <w:name w:val="Нет списка31213"/>
    <w:uiPriority w:val="99"/>
    <w:semiHidden/>
    <w:unhideWhenUsed/>
    <w:qFormat/>
  </w:style>
  <w:style w:type="numbering" w:customStyle="1" w:styleId="121213">
    <w:name w:val="Нет списка121213"/>
    <w:uiPriority w:val="99"/>
    <w:semiHidden/>
    <w:unhideWhenUsed/>
    <w:qFormat/>
  </w:style>
  <w:style w:type="numbering" w:customStyle="1" w:styleId="211213">
    <w:name w:val="Нет списка211213"/>
    <w:uiPriority w:val="99"/>
    <w:semiHidden/>
    <w:unhideWhenUsed/>
    <w:qFormat/>
  </w:style>
  <w:style w:type="numbering" w:customStyle="1" w:styleId="1111213">
    <w:name w:val="Нет списка1111213"/>
    <w:uiPriority w:val="99"/>
    <w:semiHidden/>
    <w:unhideWhenUsed/>
    <w:qFormat/>
  </w:style>
  <w:style w:type="numbering" w:customStyle="1" w:styleId="5113">
    <w:name w:val="Нет списка5113"/>
    <w:uiPriority w:val="99"/>
    <w:semiHidden/>
    <w:unhideWhenUsed/>
    <w:qFormat/>
  </w:style>
  <w:style w:type="numbering" w:customStyle="1" w:styleId="6113">
    <w:name w:val="Нет списка6113"/>
    <w:uiPriority w:val="99"/>
    <w:semiHidden/>
    <w:unhideWhenUsed/>
    <w:qFormat/>
  </w:style>
  <w:style w:type="numbering" w:customStyle="1" w:styleId="830">
    <w:name w:val="Нет списка83"/>
    <w:uiPriority w:val="99"/>
    <w:semiHidden/>
    <w:unhideWhenUsed/>
    <w:qFormat/>
  </w:style>
  <w:style w:type="numbering" w:customStyle="1" w:styleId="930">
    <w:name w:val="Нет списка93"/>
    <w:semiHidden/>
    <w:qFormat/>
  </w:style>
  <w:style w:type="numbering" w:customStyle="1" w:styleId="103">
    <w:name w:val="Нет списка103"/>
    <w:semiHidden/>
    <w:qFormat/>
  </w:style>
  <w:style w:type="numbering" w:customStyle="1" w:styleId="300">
    <w:name w:val="Нет списка30"/>
    <w:uiPriority w:val="99"/>
    <w:semiHidden/>
    <w:unhideWhenUsed/>
    <w:qFormat/>
  </w:style>
  <w:style w:type="numbering" w:customStyle="1" w:styleId="1200">
    <w:name w:val="Нет списка120"/>
    <w:uiPriority w:val="99"/>
    <w:semiHidden/>
    <w:unhideWhenUsed/>
    <w:qFormat/>
  </w:style>
  <w:style w:type="numbering" w:customStyle="1" w:styleId="2100">
    <w:name w:val="Нет списка210"/>
    <w:uiPriority w:val="99"/>
    <w:semiHidden/>
    <w:unhideWhenUsed/>
    <w:qFormat/>
  </w:style>
  <w:style w:type="numbering" w:customStyle="1" w:styleId="1118">
    <w:name w:val="Нет списка1118"/>
    <w:uiPriority w:val="99"/>
    <w:semiHidden/>
    <w:unhideWhenUsed/>
    <w:qFormat/>
  </w:style>
  <w:style w:type="numbering" w:customStyle="1" w:styleId="380">
    <w:name w:val="Нет списка38"/>
    <w:uiPriority w:val="99"/>
    <w:semiHidden/>
    <w:unhideWhenUsed/>
    <w:qFormat/>
  </w:style>
  <w:style w:type="numbering" w:customStyle="1" w:styleId="128">
    <w:name w:val="Нет списка128"/>
    <w:uiPriority w:val="99"/>
    <w:semiHidden/>
    <w:unhideWhenUsed/>
    <w:qFormat/>
  </w:style>
  <w:style w:type="numbering" w:customStyle="1" w:styleId="218">
    <w:name w:val="Нет списка218"/>
    <w:uiPriority w:val="99"/>
    <w:semiHidden/>
    <w:unhideWhenUsed/>
    <w:qFormat/>
  </w:style>
  <w:style w:type="numbering" w:customStyle="1" w:styleId="1119">
    <w:name w:val="Нет списка1119"/>
    <w:uiPriority w:val="99"/>
    <w:semiHidden/>
    <w:unhideWhenUsed/>
    <w:qFormat/>
  </w:style>
  <w:style w:type="numbering" w:customStyle="1" w:styleId="470">
    <w:name w:val="Нет списка47"/>
    <w:uiPriority w:val="99"/>
    <w:semiHidden/>
    <w:unhideWhenUsed/>
    <w:qFormat/>
  </w:style>
  <w:style w:type="numbering" w:customStyle="1" w:styleId="137">
    <w:name w:val="Нет списка137"/>
    <w:uiPriority w:val="99"/>
    <w:semiHidden/>
    <w:unhideWhenUsed/>
    <w:qFormat/>
  </w:style>
  <w:style w:type="numbering" w:customStyle="1" w:styleId="227">
    <w:name w:val="Нет списка227"/>
    <w:uiPriority w:val="99"/>
    <w:semiHidden/>
    <w:unhideWhenUsed/>
    <w:qFormat/>
  </w:style>
  <w:style w:type="numbering" w:customStyle="1" w:styleId="1127">
    <w:name w:val="Нет списка1127"/>
    <w:uiPriority w:val="99"/>
    <w:semiHidden/>
    <w:unhideWhenUsed/>
    <w:qFormat/>
  </w:style>
  <w:style w:type="numbering" w:customStyle="1" w:styleId="317">
    <w:name w:val="Нет списка317"/>
    <w:uiPriority w:val="99"/>
    <w:semiHidden/>
    <w:unhideWhenUsed/>
    <w:qFormat/>
  </w:style>
  <w:style w:type="numbering" w:customStyle="1" w:styleId="1217">
    <w:name w:val="Нет списка1217"/>
    <w:uiPriority w:val="99"/>
    <w:semiHidden/>
    <w:unhideWhenUsed/>
    <w:qFormat/>
  </w:style>
  <w:style w:type="numbering" w:customStyle="1" w:styleId="2117">
    <w:name w:val="Нет списка2117"/>
    <w:uiPriority w:val="99"/>
    <w:semiHidden/>
    <w:unhideWhenUsed/>
    <w:qFormat/>
  </w:style>
  <w:style w:type="numbering" w:customStyle="1" w:styleId="11117">
    <w:name w:val="Нет списка11117"/>
    <w:uiPriority w:val="99"/>
    <w:semiHidden/>
    <w:unhideWhenUsed/>
    <w:qFormat/>
  </w:style>
  <w:style w:type="numbering" w:customStyle="1" w:styleId="560">
    <w:name w:val="Нет списка56"/>
    <w:uiPriority w:val="99"/>
    <w:semiHidden/>
    <w:unhideWhenUsed/>
    <w:qFormat/>
  </w:style>
  <w:style w:type="numbering" w:customStyle="1" w:styleId="145">
    <w:name w:val="Нет списка145"/>
    <w:uiPriority w:val="99"/>
    <w:semiHidden/>
    <w:unhideWhenUsed/>
    <w:qFormat/>
  </w:style>
  <w:style w:type="numbering" w:customStyle="1" w:styleId="235">
    <w:name w:val="Нет списка235"/>
    <w:uiPriority w:val="99"/>
    <w:semiHidden/>
    <w:unhideWhenUsed/>
    <w:qFormat/>
  </w:style>
  <w:style w:type="numbering" w:customStyle="1" w:styleId="1135">
    <w:name w:val="Нет списка1135"/>
    <w:uiPriority w:val="99"/>
    <w:semiHidden/>
    <w:unhideWhenUsed/>
    <w:qFormat/>
  </w:style>
  <w:style w:type="numbering" w:customStyle="1" w:styleId="325">
    <w:name w:val="Нет списка325"/>
    <w:uiPriority w:val="99"/>
    <w:semiHidden/>
    <w:unhideWhenUsed/>
    <w:qFormat/>
  </w:style>
  <w:style w:type="numbering" w:customStyle="1" w:styleId="1225">
    <w:name w:val="Нет списка1225"/>
    <w:uiPriority w:val="99"/>
    <w:semiHidden/>
    <w:unhideWhenUsed/>
    <w:qFormat/>
  </w:style>
  <w:style w:type="numbering" w:customStyle="1" w:styleId="2125">
    <w:name w:val="Нет списка2125"/>
    <w:uiPriority w:val="99"/>
    <w:semiHidden/>
    <w:unhideWhenUsed/>
    <w:qFormat/>
  </w:style>
  <w:style w:type="numbering" w:customStyle="1" w:styleId="11125">
    <w:name w:val="Нет списка11125"/>
    <w:uiPriority w:val="99"/>
    <w:semiHidden/>
    <w:unhideWhenUsed/>
    <w:qFormat/>
  </w:style>
  <w:style w:type="numbering" w:customStyle="1" w:styleId="415">
    <w:name w:val="Нет списка415"/>
    <w:uiPriority w:val="99"/>
    <w:semiHidden/>
    <w:unhideWhenUsed/>
    <w:qFormat/>
  </w:style>
  <w:style w:type="numbering" w:customStyle="1" w:styleId="1315">
    <w:name w:val="Нет списка1315"/>
    <w:uiPriority w:val="99"/>
    <w:semiHidden/>
    <w:unhideWhenUsed/>
    <w:qFormat/>
  </w:style>
  <w:style w:type="numbering" w:customStyle="1" w:styleId="2215">
    <w:name w:val="Нет списка2215"/>
    <w:uiPriority w:val="99"/>
    <w:semiHidden/>
    <w:unhideWhenUsed/>
    <w:qFormat/>
  </w:style>
  <w:style w:type="numbering" w:customStyle="1" w:styleId="11215">
    <w:name w:val="Нет списка11215"/>
    <w:uiPriority w:val="99"/>
    <w:semiHidden/>
    <w:unhideWhenUsed/>
    <w:qFormat/>
  </w:style>
  <w:style w:type="numbering" w:customStyle="1" w:styleId="3115">
    <w:name w:val="Нет списка3115"/>
    <w:uiPriority w:val="99"/>
    <w:semiHidden/>
    <w:unhideWhenUsed/>
    <w:qFormat/>
  </w:style>
  <w:style w:type="numbering" w:customStyle="1" w:styleId="12115">
    <w:name w:val="Нет списка12115"/>
    <w:uiPriority w:val="99"/>
    <w:semiHidden/>
    <w:unhideWhenUsed/>
    <w:qFormat/>
  </w:style>
  <w:style w:type="numbering" w:customStyle="1" w:styleId="21115">
    <w:name w:val="Нет списка21115"/>
    <w:uiPriority w:val="99"/>
    <w:semiHidden/>
    <w:unhideWhenUsed/>
    <w:qFormat/>
  </w:style>
  <w:style w:type="numbering" w:customStyle="1" w:styleId="111115">
    <w:name w:val="Нет списка111115"/>
    <w:uiPriority w:val="99"/>
    <w:semiHidden/>
    <w:unhideWhenUsed/>
    <w:qFormat/>
  </w:style>
  <w:style w:type="numbering" w:customStyle="1" w:styleId="66">
    <w:name w:val="Нет списка66"/>
    <w:uiPriority w:val="99"/>
    <w:semiHidden/>
    <w:unhideWhenUsed/>
    <w:qFormat/>
  </w:style>
  <w:style w:type="numbering" w:customStyle="1" w:styleId="155">
    <w:name w:val="Нет списка155"/>
    <w:uiPriority w:val="99"/>
    <w:semiHidden/>
    <w:unhideWhenUsed/>
    <w:qFormat/>
  </w:style>
  <w:style w:type="numbering" w:customStyle="1" w:styleId="245">
    <w:name w:val="Нет списка245"/>
    <w:uiPriority w:val="99"/>
    <w:semiHidden/>
    <w:unhideWhenUsed/>
    <w:qFormat/>
  </w:style>
  <w:style w:type="numbering" w:customStyle="1" w:styleId="1145">
    <w:name w:val="Нет списка1145"/>
    <w:uiPriority w:val="99"/>
    <w:semiHidden/>
    <w:unhideWhenUsed/>
    <w:qFormat/>
  </w:style>
  <w:style w:type="numbering" w:customStyle="1" w:styleId="335">
    <w:name w:val="Нет списка335"/>
    <w:uiPriority w:val="99"/>
    <w:semiHidden/>
    <w:unhideWhenUsed/>
    <w:qFormat/>
  </w:style>
  <w:style w:type="numbering" w:customStyle="1" w:styleId="1235">
    <w:name w:val="Нет списка1235"/>
    <w:uiPriority w:val="99"/>
    <w:semiHidden/>
    <w:unhideWhenUsed/>
    <w:qFormat/>
  </w:style>
  <w:style w:type="numbering" w:customStyle="1" w:styleId="2135">
    <w:name w:val="Нет списка2135"/>
    <w:uiPriority w:val="99"/>
    <w:semiHidden/>
    <w:unhideWhenUsed/>
    <w:qFormat/>
  </w:style>
  <w:style w:type="numbering" w:customStyle="1" w:styleId="11135">
    <w:name w:val="Нет списка11135"/>
    <w:uiPriority w:val="99"/>
    <w:semiHidden/>
    <w:unhideWhenUsed/>
    <w:qFormat/>
  </w:style>
  <w:style w:type="numbering" w:customStyle="1" w:styleId="425">
    <w:name w:val="Нет списка425"/>
    <w:uiPriority w:val="99"/>
    <w:semiHidden/>
    <w:unhideWhenUsed/>
    <w:qFormat/>
  </w:style>
  <w:style w:type="numbering" w:customStyle="1" w:styleId="1325">
    <w:name w:val="Нет списка1325"/>
    <w:uiPriority w:val="99"/>
    <w:semiHidden/>
    <w:unhideWhenUsed/>
    <w:qFormat/>
  </w:style>
  <w:style w:type="numbering" w:customStyle="1" w:styleId="2225">
    <w:name w:val="Нет списка2225"/>
    <w:uiPriority w:val="99"/>
    <w:semiHidden/>
    <w:unhideWhenUsed/>
    <w:qFormat/>
  </w:style>
  <w:style w:type="numbering" w:customStyle="1" w:styleId="11225">
    <w:name w:val="Нет списка11225"/>
    <w:uiPriority w:val="99"/>
    <w:semiHidden/>
    <w:unhideWhenUsed/>
    <w:qFormat/>
  </w:style>
  <w:style w:type="numbering" w:customStyle="1" w:styleId="3125">
    <w:name w:val="Нет списка3125"/>
    <w:uiPriority w:val="99"/>
    <w:semiHidden/>
    <w:unhideWhenUsed/>
    <w:qFormat/>
  </w:style>
  <w:style w:type="numbering" w:customStyle="1" w:styleId="12125">
    <w:name w:val="Нет списка12125"/>
    <w:uiPriority w:val="99"/>
    <w:semiHidden/>
    <w:unhideWhenUsed/>
    <w:qFormat/>
  </w:style>
  <w:style w:type="numbering" w:customStyle="1" w:styleId="21125">
    <w:name w:val="Нет списка21125"/>
    <w:uiPriority w:val="99"/>
    <w:semiHidden/>
    <w:unhideWhenUsed/>
    <w:qFormat/>
  </w:style>
  <w:style w:type="numbering" w:customStyle="1" w:styleId="111125">
    <w:name w:val="Нет списка111125"/>
    <w:uiPriority w:val="99"/>
    <w:semiHidden/>
    <w:unhideWhenUsed/>
    <w:qFormat/>
  </w:style>
  <w:style w:type="numbering" w:customStyle="1" w:styleId="515">
    <w:name w:val="Нет списка515"/>
    <w:uiPriority w:val="99"/>
    <w:semiHidden/>
    <w:unhideWhenUsed/>
    <w:qFormat/>
  </w:style>
  <w:style w:type="numbering" w:customStyle="1" w:styleId="615">
    <w:name w:val="Нет списка615"/>
    <w:uiPriority w:val="99"/>
    <w:semiHidden/>
    <w:unhideWhenUsed/>
    <w:qFormat/>
  </w:style>
  <w:style w:type="numbering" w:customStyle="1" w:styleId="740">
    <w:name w:val="Нет списка74"/>
    <w:uiPriority w:val="99"/>
    <w:semiHidden/>
    <w:unhideWhenUsed/>
    <w:qFormat/>
  </w:style>
  <w:style w:type="numbering" w:customStyle="1" w:styleId="164">
    <w:name w:val="Нет списка164"/>
    <w:uiPriority w:val="99"/>
    <w:semiHidden/>
    <w:unhideWhenUsed/>
    <w:qFormat/>
  </w:style>
  <w:style w:type="numbering" w:customStyle="1" w:styleId="1154">
    <w:name w:val="Нет списка1154"/>
    <w:uiPriority w:val="99"/>
    <w:semiHidden/>
    <w:unhideWhenUsed/>
    <w:qFormat/>
  </w:style>
  <w:style w:type="numbering" w:customStyle="1" w:styleId="254">
    <w:name w:val="Нет списка254"/>
    <w:uiPriority w:val="99"/>
    <w:semiHidden/>
    <w:unhideWhenUsed/>
    <w:qFormat/>
  </w:style>
  <w:style w:type="numbering" w:customStyle="1" w:styleId="11144">
    <w:name w:val="Нет списка11144"/>
    <w:uiPriority w:val="99"/>
    <w:semiHidden/>
    <w:unhideWhenUsed/>
    <w:qFormat/>
  </w:style>
  <w:style w:type="numbering" w:customStyle="1" w:styleId="344">
    <w:name w:val="Нет списка344"/>
    <w:uiPriority w:val="99"/>
    <w:semiHidden/>
    <w:unhideWhenUsed/>
    <w:qFormat/>
  </w:style>
  <w:style w:type="numbering" w:customStyle="1" w:styleId="1244">
    <w:name w:val="Нет списка1244"/>
    <w:uiPriority w:val="99"/>
    <w:semiHidden/>
    <w:unhideWhenUsed/>
    <w:qFormat/>
  </w:style>
  <w:style w:type="numbering" w:customStyle="1" w:styleId="2144">
    <w:name w:val="Нет списка2144"/>
    <w:uiPriority w:val="99"/>
    <w:semiHidden/>
    <w:unhideWhenUsed/>
    <w:qFormat/>
  </w:style>
  <w:style w:type="numbering" w:customStyle="1" w:styleId="111134">
    <w:name w:val="Нет списка111134"/>
    <w:uiPriority w:val="99"/>
    <w:semiHidden/>
    <w:unhideWhenUsed/>
    <w:qFormat/>
  </w:style>
  <w:style w:type="numbering" w:customStyle="1" w:styleId="434">
    <w:name w:val="Нет списка434"/>
    <w:uiPriority w:val="99"/>
    <w:semiHidden/>
    <w:unhideWhenUsed/>
    <w:qFormat/>
  </w:style>
  <w:style w:type="numbering" w:customStyle="1" w:styleId="1334">
    <w:name w:val="Нет списка1334"/>
    <w:uiPriority w:val="99"/>
    <w:semiHidden/>
    <w:unhideWhenUsed/>
    <w:qFormat/>
  </w:style>
  <w:style w:type="numbering" w:customStyle="1" w:styleId="2234">
    <w:name w:val="Нет списка2234"/>
    <w:uiPriority w:val="99"/>
    <w:semiHidden/>
    <w:unhideWhenUsed/>
    <w:qFormat/>
  </w:style>
  <w:style w:type="numbering" w:customStyle="1" w:styleId="11234">
    <w:name w:val="Нет списка11234"/>
    <w:uiPriority w:val="99"/>
    <w:semiHidden/>
    <w:unhideWhenUsed/>
    <w:qFormat/>
  </w:style>
  <w:style w:type="numbering" w:customStyle="1" w:styleId="3134">
    <w:name w:val="Нет списка3134"/>
    <w:uiPriority w:val="99"/>
    <w:semiHidden/>
    <w:unhideWhenUsed/>
    <w:qFormat/>
  </w:style>
  <w:style w:type="numbering" w:customStyle="1" w:styleId="12134">
    <w:name w:val="Нет списка12134"/>
    <w:uiPriority w:val="99"/>
    <w:semiHidden/>
    <w:unhideWhenUsed/>
    <w:qFormat/>
  </w:style>
  <w:style w:type="numbering" w:customStyle="1" w:styleId="21134">
    <w:name w:val="Нет списка21134"/>
    <w:uiPriority w:val="99"/>
    <w:semiHidden/>
    <w:unhideWhenUsed/>
    <w:qFormat/>
  </w:style>
  <w:style w:type="numbering" w:customStyle="1" w:styleId="1111115">
    <w:name w:val="Нет списка1111115"/>
    <w:uiPriority w:val="99"/>
    <w:semiHidden/>
    <w:unhideWhenUsed/>
    <w:qFormat/>
  </w:style>
  <w:style w:type="numbering" w:customStyle="1" w:styleId="524">
    <w:name w:val="Нет списка524"/>
    <w:uiPriority w:val="99"/>
    <w:semiHidden/>
    <w:unhideWhenUsed/>
    <w:qFormat/>
  </w:style>
  <w:style w:type="numbering" w:customStyle="1" w:styleId="1414">
    <w:name w:val="Нет списка1414"/>
    <w:uiPriority w:val="99"/>
    <w:semiHidden/>
    <w:unhideWhenUsed/>
    <w:qFormat/>
  </w:style>
  <w:style w:type="numbering" w:customStyle="1" w:styleId="2314">
    <w:name w:val="Нет списка2314"/>
    <w:uiPriority w:val="99"/>
    <w:semiHidden/>
    <w:unhideWhenUsed/>
    <w:qFormat/>
  </w:style>
  <w:style w:type="numbering" w:customStyle="1" w:styleId="11314">
    <w:name w:val="Нет списка11314"/>
    <w:uiPriority w:val="99"/>
    <w:semiHidden/>
    <w:unhideWhenUsed/>
    <w:qFormat/>
  </w:style>
  <w:style w:type="numbering" w:customStyle="1" w:styleId="3214">
    <w:name w:val="Нет списка3214"/>
    <w:uiPriority w:val="99"/>
    <w:semiHidden/>
    <w:unhideWhenUsed/>
    <w:qFormat/>
  </w:style>
  <w:style w:type="numbering" w:customStyle="1" w:styleId="12214">
    <w:name w:val="Нет списка12214"/>
    <w:uiPriority w:val="99"/>
    <w:semiHidden/>
    <w:unhideWhenUsed/>
    <w:qFormat/>
  </w:style>
  <w:style w:type="numbering" w:customStyle="1" w:styleId="21214">
    <w:name w:val="Нет списка21214"/>
    <w:uiPriority w:val="99"/>
    <w:semiHidden/>
    <w:unhideWhenUsed/>
    <w:qFormat/>
  </w:style>
  <w:style w:type="numbering" w:customStyle="1" w:styleId="111214">
    <w:name w:val="Нет списка111214"/>
    <w:uiPriority w:val="99"/>
    <w:semiHidden/>
    <w:unhideWhenUsed/>
    <w:qFormat/>
  </w:style>
  <w:style w:type="numbering" w:customStyle="1" w:styleId="4114">
    <w:name w:val="Нет списка4114"/>
    <w:uiPriority w:val="99"/>
    <w:semiHidden/>
    <w:unhideWhenUsed/>
    <w:qFormat/>
  </w:style>
  <w:style w:type="numbering" w:customStyle="1" w:styleId="13114">
    <w:name w:val="Нет списка13114"/>
    <w:uiPriority w:val="99"/>
    <w:semiHidden/>
    <w:unhideWhenUsed/>
    <w:qFormat/>
  </w:style>
  <w:style w:type="numbering" w:customStyle="1" w:styleId="22114">
    <w:name w:val="Нет списка22114"/>
    <w:uiPriority w:val="99"/>
    <w:semiHidden/>
    <w:unhideWhenUsed/>
    <w:qFormat/>
  </w:style>
  <w:style w:type="numbering" w:customStyle="1" w:styleId="112114">
    <w:name w:val="Нет списка112114"/>
    <w:uiPriority w:val="99"/>
    <w:semiHidden/>
    <w:unhideWhenUsed/>
    <w:qFormat/>
  </w:style>
  <w:style w:type="numbering" w:customStyle="1" w:styleId="31114">
    <w:name w:val="Нет списка31114"/>
    <w:uiPriority w:val="99"/>
    <w:semiHidden/>
    <w:unhideWhenUsed/>
    <w:qFormat/>
  </w:style>
  <w:style w:type="numbering" w:customStyle="1" w:styleId="121114">
    <w:name w:val="Нет списка121114"/>
    <w:uiPriority w:val="99"/>
    <w:semiHidden/>
    <w:unhideWhenUsed/>
    <w:qFormat/>
  </w:style>
  <w:style w:type="numbering" w:customStyle="1" w:styleId="211114">
    <w:name w:val="Нет списка211114"/>
    <w:uiPriority w:val="99"/>
    <w:semiHidden/>
    <w:unhideWhenUsed/>
    <w:qFormat/>
  </w:style>
  <w:style w:type="numbering" w:customStyle="1" w:styleId="11111114">
    <w:name w:val="Нет списка11111114"/>
    <w:uiPriority w:val="99"/>
    <w:semiHidden/>
    <w:unhideWhenUsed/>
    <w:qFormat/>
  </w:style>
  <w:style w:type="numbering" w:customStyle="1" w:styleId="624">
    <w:name w:val="Нет списка624"/>
    <w:uiPriority w:val="99"/>
    <w:semiHidden/>
    <w:unhideWhenUsed/>
    <w:qFormat/>
  </w:style>
  <w:style w:type="numbering" w:customStyle="1" w:styleId="1514">
    <w:name w:val="Нет списка1514"/>
    <w:uiPriority w:val="99"/>
    <w:semiHidden/>
    <w:unhideWhenUsed/>
    <w:qFormat/>
  </w:style>
  <w:style w:type="numbering" w:customStyle="1" w:styleId="2414">
    <w:name w:val="Нет списка2414"/>
    <w:uiPriority w:val="99"/>
    <w:semiHidden/>
    <w:unhideWhenUsed/>
    <w:qFormat/>
  </w:style>
  <w:style w:type="numbering" w:customStyle="1" w:styleId="11414">
    <w:name w:val="Нет списка11414"/>
    <w:uiPriority w:val="99"/>
    <w:semiHidden/>
    <w:unhideWhenUsed/>
    <w:qFormat/>
  </w:style>
  <w:style w:type="numbering" w:customStyle="1" w:styleId="3314">
    <w:name w:val="Нет списка3314"/>
    <w:uiPriority w:val="99"/>
    <w:semiHidden/>
    <w:unhideWhenUsed/>
    <w:qFormat/>
  </w:style>
  <w:style w:type="numbering" w:customStyle="1" w:styleId="12314">
    <w:name w:val="Нет списка12314"/>
    <w:uiPriority w:val="99"/>
    <w:semiHidden/>
    <w:unhideWhenUsed/>
    <w:qFormat/>
  </w:style>
  <w:style w:type="numbering" w:customStyle="1" w:styleId="21314">
    <w:name w:val="Нет списка21314"/>
    <w:uiPriority w:val="99"/>
    <w:semiHidden/>
    <w:unhideWhenUsed/>
    <w:qFormat/>
  </w:style>
  <w:style w:type="numbering" w:customStyle="1" w:styleId="111314">
    <w:name w:val="Нет списка111314"/>
    <w:uiPriority w:val="99"/>
    <w:semiHidden/>
    <w:unhideWhenUsed/>
    <w:qFormat/>
  </w:style>
  <w:style w:type="numbering" w:customStyle="1" w:styleId="4214">
    <w:name w:val="Нет списка4214"/>
    <w:uiPriority w:val="99"/>
    <w:semiHidden/>
    <w:unhideWhenUsed/>
    <w:qFormat/>
  </w:style>
  <w:style w:type="numbering" w:customStyle="1" w:styleId="13214">
    <w:name w:val="Нет списка13214"/>
    <w:uiPriority w:val="99"/>
    <w:semiHidden/>
    <w:unhideWhenUsed/>
    <w:qFormat/>
  </w:style>
  <w:style w:type="numbering" w:customStyle="1" w:styleId="22214">
    <w:name w:val="Нет списка22214"/>
    <w:uiPriority w:val="99"/>
    <w:semiHidden/>
    <w:unhideWhenUsed/>
    <w:qFormat/>
  </w:style>
  <w:style w:type="numbering" w:customStyle="1" w:styleId="112214">
    <w:name w:val="Нет списка112214"/>
    <w:uiPriority w:val="99"/>
    <w:semiHidden/>
    <w:unhideWhenUsed/>
    <w:qFormat/>
  </w:style>
  <w:style w:type="numbering" w:customStyle="1" w:styleId="31214">
    <w:name w:val="Нет списка31214"/>
    <w:uiPriority w:val="99"/>
    <w:semiHidden/>
    <w:unhideWhenUsed/>
    <w:qFormat/>
  </w:style>
  <w:style w:type="numbering" w:customStyle="1" w:styleId="121214">
    <w:name w:val="Нет списка121214"/>
    <w:uiPriority w:val="99"/>
    <w:semiHidden/>
    <w:unhideWhenUsed/>
    <w:qFormat/>
  </w:style>
  <w:style w:type="numbering" w:customStyle="1" w:styleId="211214">
    <w:name w:val="Нет списка211214"/>
    <w:uiPriority w:val="99"/>
    <w:semiHidden/>
    <w:unhideWhenUsed/>
    <w:qFormat/>
  </w:style>
  <w:style w:type="numbering" w:customStyle="1" w:styleId="1111214">
    <w:name w:val="Нет списка1111214"/>
    <w:uiPriority w:val="99"/>
    <w:semiHidden/>
    <w:unhideWhenUsed/>
    <w:qFormat/>
  </w:style>
  <w:style w:type="numbering" w:customStyle="1" w:styleId="5114">
    <w:name w:val="Нет списка5114"/>
    <w:uiPriority w:val="99"/>
    <w:semiHidden/>
    <w:unhideWhenUsed/>
    <w:qFormat/>
  </w:style>
  <w:style w:type="numbering" w:customStyle="1" w:styleId="6114">
    <w:name w:val="Нет списка6114"/>
    <w:uiPriority w:val="99"/>
    <w:semiHidden/>
    <w:unhideWhenUsed/>
    <w:qFormat/>
  </w:style>
  <w:style w:type="numbering" w:customStyle="1" w:styleId="84">
    <w:name w:val="Нет списка84"/>
    <w:uiPriority w:val="99"/>
    <w:semiHidden/>
    <w:unhideWhenUsed/>
    <w:qFormat/>
  </w:style>
  <w:style w:type="numbering" w:customStyle="1" w:styleId="94">
    <w:name w:val="Нет списка94"/>
    <w:semiHidden/>
    <w:qFormat/>
  </w:style>
  <w:style w:type="numbering" w:customStyle="1" w:styleId="104">
    <w:name w:val="Нет списка104"/>
    <w:semiHidden/>
    <w:qFormat/>
  </w:style>
  <w:style w:type="numbering" w:customStyle="1" w:styleId="171">
    <w:name w:val="Нет списка171"/>
    <w:semiHidden/>
    <w:qFormat/>
  </w:style>
  <w:style w:type="numbering" w:customStyle="1" w:styleId="181">
    <w:name w:val="Нет списка181"/>
    <w:uiPriority w:val="99"/>
    <w:semiHidden/>
    <w:unhideWhenUsed/>
    <w:qFormat/>
  </w:style>
  <w:style w:type="numbering" w:customStyle="1" w:styleId="191">
    <w:name w:val="Нет списка191"/>
    <w:uiPriority w:val="99"/>
    <w:semiHidden/>
    <w:unhideWhenUsed/>
    <w:qFormat/>
  </w:style>
  <w:style w:type="numbering" w:customStyle="1" w:styleId="1101">
    <w:name w:val="Нет списка1101"/>
    <w:uiPriority w:val="99"/>
    <w:semiHidden/>
    <w:unhideWhenUsed/>
    <w:qFormat/>
  </w:style>
  <w:style w:type="numbering" w:customStyle="1" w:styleId="2610">
    <w:name w:val="Нет списка261"/>
    <w:uiPriority w:val="99"/>
    <w:semiHidden/>
    <w:unhideWhenUsed/>
    <w:qFormat/>
  </w:style>
  <w:style w:type="numbering" w:customStyle="1" w:styleId="1161">
    <w:name w:val="Нет списка1161"/>
    <w:uiPriority w:val="99"/>
    <w:semiHidden/>
    <w:unhideWhenUsed/>
    <w:qFormat/>
  </w:style>
  <w:style w:type="numbering" w:customStyle="1" w:styleId="351">
    <w:name w:val="Нет списка351"/>
    <w:uiPriority w:val="99"/>
    <w:semiHidden/>
    <w:unhideWhenUsed/>
    <w:qFormat/>
  </w:style>
  <w:style w:type="numbering" w:customStyle="1" w:styleId="1251">
    <w:name w:val="Нет списка1251"/>
    <w:uiPriority w:val="99"/>
    <w:semiHidden/>
    <w:unhideWhenUsed/>
    <w:qFormat/>
  </w:style>
  <w:style w:type="numbering" w:customStyle="1" w:styleId="2151">
    <w:name w:val="Нет списка2151"/>
    <w:uiPriority w:val="99"/>
    <w:semiHidden/>
    <w:unhideWhenUsed/>
    <w:qFormat/>
  </w:style>
  <w:style w:type="numbering" w:customStyle="1" w:styleId="11151">
    <w:name w:val="Нет списка11151"/>
    <w:uiPriority w:val="99"/>
    <w:semiHidden/>
    <w:unhideWhenUsed/>
    <w:qFormat/>
  </w:style>
  <w:style w:type="numbering" w:customStyle="1" w:styleId="441">
    <w:name w:val="Нет списка441"/>
    <w:uiPriority w:val="99"/>
    <w:semiHidden/>
    <w:unhideWhenUsed/>
    <w:qFormat/>
  </w:style>
  <w:style w:type="numbering" w:customStyle="1" w:styleId="1341">
    <w:name w:val="Нет списка1341"/>
    <w:uiPriority w:val="99"/>
    <w:semiHidden/>
    <w:unhideWhenUsed/>
    <w:qFormat/>
  </w:style>
  <w:style w:type="numbering" w:customStyle="1" w:styleId="2241">
    <w:name w:val="Нет списка2241"/>
    <w:uiPriority w:val="99"/>
    <w:semiHidden/>
    <w:unhideWhenUsed/>
    <w:qFormat/>
  </w:style>
  <w:style w:type="numbering" w:customStyle="1" w:styleId="11241">
    <w:name w:val="Нет списка11241"/>
    <w:uiPriority w:val="99"/>
    <w:semiHidden/>
    <w:unhideWhenUsed/>
    <w:qFormat/>
  </w:style>
  <w:style w:type="numbering" w:customStyle="1" w:styleId="3141">
    <w:name w:val="Нет списка3141"/>
    <w:uiPriority w:val="99"/>
    <w:semiHidden/>
    <w:unhideWhenUsed/>
    <w:qFormat/>
  </w:style>
  <w:style w:type="numbering" w:customStyle="1" w:styleId="12141">
    <w:name w:val="Нет списка12141"/>
    <w:uiPriority w:val="99"/>
    <w:semiHidden/>
    <w:unhideWhenUsed/>
    <w:qFormat/>
  </w:style>
  <w:style w:type="numbering" w:customStyle="1" w:styleId="21141">
    <w:name w:val="Нет списка21141"/>
    <w:uiPriority w:val="99"/>
    <w:semiHidden/>
    <w:unhideWhenUsed/>
    <w:qFormat/>
  </w:style>
  <w:style w:type="numbering" w:customStyle="1" w:styleId="111141">
    <w:name w:val="Нет списка111141"/>
    <w:uiPriority w:val="99"/>
    <w:semiHidden/>
    <w:unhideWhenUsed/>
    <w:qFormat/>
  </w:style>
  <w:style w:type="numbering" w:customStyle="1" w:styleId="531">
    <w:name w:val="Нет списка531"/>
    <w:uiPriority w:val="99"/>
    <w:semiHidden/>
    <w:unhideWhenUsed/>
    <w:qFormat/>
  </w:style>
  <w:style w:type="numbering" w:customStyle="1" w:styleId="1421">
    <w:name w:val="Нет списка1421"/>
    <w:uiPriority w:val="99"/>
    <w:semiHidden/>
    <w:unhideWhenUsed/>
    <w:qFormat/>
  </w:style>
  <w:style w:type="numbering" w:customStyle="1" w:styleId="2321">
    <w:name w:val="Нет списка2321"/>
    <w:uiPriority w:val="99"/>
    <w:semiHidden/>
    <w:unhideWhenUsed/>
    <w:qFormat/>
  </w:style>
  <w:style w:type="numbering" w:customStyle="1" w:styleId="11321">
    <w:name w:val="Нет списка11321"/>
    <w:uiPriority w:val="99"/>
    <w:semiHidden/>
    <w:unhideWhenUsed/>
    <w:qFormat/>
  </w:style>
  <w:style w:type="numbering" w:customStyle="1" w:styleId="3221">
    <w:name w:val="Нет списка3221"/>
    <w:uiPriority w:val="99"/>
    <w:semiHidden/>
    <w:unhideWhenUsed/>
    <w:qFormat/>
  </w:style>
  <w:style w:type="numbering" w:customStyle="1" w:styleId="12221">
    <w:name w:val="Нет списка12221"/>
    <w:uiPriority w:val="99"/>
    <w:semiHidden/>
    <w:unhideWhenUsed/>
    <w:qFormat/>
  </w:style>
  <w:style w:type="numbering" w:customStyle="1" w:styleId="21221">
    <w:name w:val="Нет списка21221"/>
    <w:uiPriority w:val="99"/>
    <w:semiHidden/>
    <w:unhideWhenUsed/>
    <w:qFormat/>
  </w:style>
  <w:style w:type="numbering" w:customStyle="1" w:styleId="111221">
    <w:name w:val="Нет списка111221"/>
    <w:uiPriority w:val="99"/>
    <w:semiHidden/>
    <w:unhideWhenUsed/>
    <w:qFormat/>
  </w:style>
  <w:style w:type="numbering" w:customStyle="1" w:styleId="4121">
    <w:name w:val="Нет списка4121"/>
    <w:uiPriority w:val="99"/>
    <w:semiHidden/>
    <w:unhideWhenUsed/>
    <w:qFormat/>
  </w:style>
  <w:style w:type="numbering" w:customStyle="1" w:styleId="13121">
    <w:name w:val="Нет списка13121"/>
    <w:uiPriority w:val="99"/>
    <w:semiHidden/>
    <w:unhideWhenUsed/>
    <w:qFormat/>
  </w:style>
  <w:style w:type="numbering" w:customStyle="1" w:styleId="22121">
    <w:name w:val="Нет списка22121"/>
    <w:uiPriority w:val="99"/>
    <w:semiHidden/>
    <w:unhideWhenUsed/>
    <w:qFormat/>
  </w:style>
  <w:style w:type="numbering" w:customStyle="1" w:styleId="112121">
    <w:name w:val="Нет списка112121"/>
    <w:uiPriority w:val="99"/>
    <w:semiHidden/>
    <w:unhideWhenUsed/>
    <w:qFormat/>
  </w:style>
  <w:style w:type="numbering" w:customStyle="1" w:styleId="31121">
    <w:name w:val="Нет списка31121"/>
    <w:uiPriority w:val="99"/>
    <w:semiHidden/>
    <w:unhideWhenUsed/>
    <w:qFormat/>
  </w:style>
  <w:style w:type="numbering" w:customStyle="1" w:styleId="121121">
    <w:name w:val="Нет списка121121"/>
    <w:uiPriority w:val="99"/>
    <w:semiHidden/>
    <w:unhideWhenUsed/>
    <w:qFormat/>
  </w:style>
  <w:style w:type="numbering" w:customStyle="1" w:styleId="211121">
    <w:name w:val="Нет списка211121"/>
    <w:uiPriority w:val="99"/>
    <w:semiHidden/>
    <w:unhideWhenUsed/>
    <w:qFormat/>
  </w:style>
  <w:style w:type="numbering" w:customStyle="1" w:styleId="1111121">
    <w:name w:val="Нет списка1111121"/>
    <w:uiPriority w:val="99"/>
    <w:semiHidden/>
    <w:unhideWhenUsed/>
    <w:qFormat/>
  </w:style>
  <w:style w:type="numbering" w:customStyle="1" w:styleId="631">
    <w:name w:val="Нет списка631"/>
    <w:uiPriority w:val="99"/>
    <w:semiHidden/>
    <w:unhideWhenUsed/>
    <w:qFormat/>
  </w:style>
  <w:style w:type="numbering" w:customStyle="1" w:styleId="1521">
    <w:name w:val="Нет списка1521"/>
    <w:uiPriority w:val="99"/>
    <w:semiHidden/>
    <w:unhideWhenUsed/>
    <w:qFormat/>
  </w:style>
  <w:style w:type="numbering" w:customStyle="1" w:styleId="2421">
    <w:name w:val="Нет списка2421"/>
    <w:uiPriority w:val="99"/>
    <w:semiHidden/>
    <w:unhideWhenUsed/>
    <w:qFormat/>
  </w:style>
  <w:style w:type="numbering" w:customStyle="1" w:styleId="11421">
    <w:name w:val="Нет списка11421"/>
    <w:uiPriority w:val="99"/>
    <w:semiHidden/>
    <w:unhideWhenUsed/>
    <w:qFormat/>
  </w:style>
  <w:style w:type="numbering" w:customStyle="1" w:styleId="3321">
    <w:name w:val="Нет списка3321"/>
    <w:uiPriority w:val="99"/>
    <w:semiHidden/>
    <w:unhideWhenUsed/>
    <w:qFormat/>
  </w:style>
  <w:style w:type="numbering" w:customStyle="1" w:styleId="12321">
    <w:name w:val="Нет списка12321"/>
    <w:uiPriority w:val="99"/>
    <w:semiHidden/>
    <w:unhideWhenUsed/>
    <w:qFormat/>
  </w:style>
  <w:style w:type="numbering" w:customStyle="1" w:styleId="21321">
    <w:name w:val="Нет списка21321"/>
    <w:uiPriority w:val="99"/>
    <w:semiHidden/>
    <w:unhideWhenUsed/>
    <w:qFormat/>
  </w:style>
  <w:style w:type="numbering" w:customStyle="1" w:styleId="111321">
    <w:name w:val="Нет списка111321"/>
    <w:uiPriority w:val="99"/>
    <w:semiHidden/>
    <w:unhideWhenUsed/>
    <w:qFormat/>
  </w:style>
  <w:style w:type="numbering" w:customStyle="1" w:styleId="4221">
    <w:name w:val="Нет списка4221"/>
    <w:uiPriority w:val="99"/>
    <w:semiHidden/>
    <w:unhideWhenUsed/>
    <w:qFormat/>
  </w:style>
  <w:style w:type="numbering" w:customStyle="1" w:styleId="13221">
    <w:name w:val="Нет списка13221"/>
    <w:uiPriority w:val="99"/>
    <w:semiHidden/>
    <w:unhideWhenUsed/>
    <w:qFormat/>
  </w:style>
  <w:style w:type="numbering" w:customStyle="1" w:styleId="22221">
    <w:name w:val="Нет списка22221"/>
    <w:uiPriority w:val="99"/>
    <w:semiHidden/>
    <w:unhideWhenUsed/>
    <w:qFormat/>
  </w:style>
  <w:style w:type="numbering" w:customStyle="1" w:styleId="112221">
    <w:name w:val="Нет списка112221"/>
    <w:uiPriority w:val="99"/>
    <w:semiHidden/>
    <w:unhideWhenUsed/>
    <w:qFormat/>
  </w:style>
  <w:style w:type="numbering" w:customStyle="1" w:styleId="31221">
    <w:name w:val="Нет списка31221"/>
    <w:uiPriority w:val="99"/>
    <w:semiHidden/>
    <w:unhideWhenUsed/>
    <w:qFormat/>
  </w:style>
  <w:style w:type="numbering" w:customStyle="1" w:styleId="121221">
    <w:name w:val="Нет списка121221"/>
    <w:uiPriority w:val="99"/>
    <w:semiHidden/>
    <w:unhideWhenUsed/>
    <w:qFormat/>
  </w:style>
  <w:style w:type="numbering" w:customStyle="1" w:styleId="211221">
    <w:name w:val="Нет списка211221"/>
    <w:uiPriority w:val="99"/>
    <w:semiHidden/>
    <w:unhideWhenUsed/>
    <w:qFormat/>
  </w:style>
  <w:style w:type="numbering" w:customStyle="1" w:styleId="1111221">
    <w:name w:val="Нет списка1111221"/>
    <w:uiPriority w:val="99"/>
    <w:semiHidden/>
    <w:unhideWhenUsed/>
    <w:qFormat/>
  </w:style>
  <w:style w:type="numbering" w:customStyle="1" w:styleId="5121">
    <w:name w:val="Нет списка5121"/>
    <w:uiPriority w:val="99"/>
    <w:semiHidden/>
    <w:unhideWhenUsed/>
    <w:qFormat/>
  </w:style>
  <w:style w:type="numbering" w:customStyle="1" w:styleId="6121">
    <w:name w:val="Нет списка6121"/>
    <w:uiPriority w:val="99"/>
    <w:semiHidden/>
    <w:unhideWhenUsed/>
    <w:qFormat/>
  </w:style>
  <w:style w:type="numbering" w:customStyle="1" w:styleId="7110">
    <w:name w:val="Нет списка711"/>
    <w:uiPriority w:val="99"/>
    <w:semiHidden/>
    <w:unhideWhenUsed/>
    <w:qFormat/>
  </w:style>
  <w:style w:type="numbering" w:customStyle="1" w:styleId="1611">
    <w:name w:val="Нет списка1611"/>
    <w:uiPriority w:val="99"/>
    <w:semiHidden/>
    <w:unhideWhenUsed/>
    <w:qFormat/>
  </w:style>
  <w:style w:type="numbering" w:customStyle="1" w:styleId="11511">
    <w:name w:val="Нет списка11511"/>
    <w:uiPriority w:val="99"/>
    <w:semiHidden/>
    <w:unhideWhenUsed/>
    <w:qFormat/>
  </w:style>
  <w:style w:type="numbering" w:customStyle="1" w:styleId="2511">
    <w:name w:val="Нет списка2511"/>
    <w:uiPriority w:val="99"/>
    <w:semiHidden/>
    <w:unhideWhenUsed/>
    <w:qFormat/>
  </w:style>
  <w:style w:type="numbering" w:customStyle="1" w:styleId="111411">
    <w:name w:val="Нет списка111411"/>
    <w:uiPriority w:val="99"/>
    <w:semiHidden/>
    <w:unhideWhenUsed/>
    <w:qFormat/>
  </w:style>
  <w:style w:type="numbering" w:customStyle="1" w:styleId="3411">
    <w:name w:val="Нет списка3411"/>
    <w:uiPriority w:val="99"/>
    <w:semiHidden/>
    <w:unhideWhenUsed/>
    <w:qFormat/>
  </w:style>
  <w:style w:type="numbering" w:customStyle="1" w:styleId="12411">
    <w:name w:val="Нет списка12411"/>
    <w:uiPriority w:val="99"/>
    <w:semiHidden/>
    <w:unhideWhenUsed/>
    <w:qFormat/>
  </w:style>
  <w:style w:type="numbering" w:customStyle="1" w:styleId="21411">
    <w:name w:val="Нет списка21411"/>
    <w:uiPriority w:val="99"/>
    <w:semiHidden/>
    <w:unhideWhenUsed/>
    <w:qFormat/>
  </w:style>
  <w:style w:type="numbering" w:customStyle="1" w:styleId="1111311">
    <w:name w:val="Нет списка1111311"/>
    <w:uiPriority w:val="99"/>
    <w:semiHidden/>
    <w:unhideWhenUsed/>
    <w:qFormat/>
  </w:style>
  <w:style w:type="numbering" w:customStyle="1" w:styleId="4311">
    <w:name w:val="Нет списка4311"/>
    <w:uiPriority w:val="99"/>
    <w:semiHidden/>
    <w:unhideWhenUsed/>
    <w:qFormat/>
  </w:style>
  <w:style w:type="numbering" w:customStyle="1" w:styleId="13311">
    <w:name w:val="Нет списка13311"/>
    <w:uiPriority w:val="99"/>
    <w:semiHidden/>
    <w:unhideWhenUsed/>
    <w:qFormat/>
  </w:style>
  <w:style w:type="numbering" w:customStyle="1" w:styleId="22311">
    <w:name w:val="Нет списка22311"/>
    <w:uiPriority w:val="99"/>
    <w:semiHidden/>
    <w:unhideWhenUsed/>
    <w:qFormat/>
  </w:style>
  <w:style w:type="numbering" w:customStyle="1" w:styleId="112311">
    <w:name w:val="Нет списка112311"/>
    <w:uiPriority w:val="99"/>
    <w:semiHidden/>
    <w:unhideWhenUsed/>
    <w:qFormat/>
  </w:style>
  <w:style w:type="numbering" w:customStyle="1" w:styleId="31311">
    <w:name w:val="Нет списка31311"/>
    <w:uiPriority w:val="99"/>
    <w:semiHidden/>
    <w:unhideWhenUsed/>
    <w:qFormat/>
  </w:style>
  <w:style w:type="numbering" w:customStyle="1" w:styleId="121311">
    <w:name w:val="Нет списка121311"/>
    <w:uiPriority w:val="99"/>
    <w:semiHidden/>
    <w:unhideWhenUsed/>
    <w:qFormat/>
  </w:style>
  <w:style w:type="numbering" w:customStyle="1" w:styleId="211311">
    <w:name w:val="Нет списка211311"/>
    <w:uiPriority w:val="99"/>
    <w:semiHidden/>
    <w:unhideWhenUsed/>
    <w:qFormat/>
  </w:style>
  <w:style w:type="numbering" w:customStyle="1" w:styleId="11111121">
    <w:name w:val="Нет списка11111121"/>
    <w:uiPriority w:val="99"/>
    <w:semiHidden/>
    <w:unhideWhenUsed/>
    <w:qFormat/>
  </w:style>
  <w:style w:type="numbering" w:customStyle="1" w:styleId="5211">
    <w:name w:val="Нет списка5211"/>
    <w:uiPriority w:val="99"/>
    <w:semiHidden/>
    <w:unhideWhenUsed/>
    <w:qFormat/>
  </w:style>
  <w:style w:type="numbering" w:customStyle="1" w:styleId="14111">
    <w:name w:val="Нет списка14111"/>
    <w:uiPriority w:val="99"/>
    <w:semiHidden/>
    <w:unhideWhenUsed/>
    <w:qFormat/>
  </w:style>
  <w:style w:type="numbering" w:customStyle="1" w:styleId="23111">
    <w:name w:val="Нет списка23111"/>
    <w:uiPriority w:val="99"/>
    <w:semiHidden/>
    <w:unhideWhenUsed/>
    <w:qFormat/>
  </w:style>
  <w:style w:type="numbering" w:customStyle="1" w:styleId="113111">
    <w:name w:val="Нет списка113111"/>
    <w:uiPriority w:val="99"/>
    <w:semiHidden/>
    <w:unhideWhenUsed/>
    <w:qFormat/>
  </w:style>
  <w:style w:type="numbering" w:customStyle="1" w:styleId="32111">
    <w:name w:val="Нет списка32111"/>
    <w:uiPriority w:val="99"/>
    <w:semiHidden/>
    <w:unhideWhenUsed/>
    <w:qFormat/>
  </w:style>
  <w:style w:type="numbering" w:customStyle="1" w:styleId="122111">
    <w:name w:val="Нет списка122111"/>
    <w:uiPriority w:val="99"/>
    <w:semiHidden/>
    <w:unhideWhenUsed/>
    <w:qFormat/>
  </w:style>
  <w:style w:type="numbering" w:customStyle="1" w:styleId="212111">
    <w:name w:val="Нет списка212111"/>
    <w:uiPriority w:val="99"/>
    <w:semiHidden/>
    <w:unhideWhenUsed/>
    <w:qFormat/>
  </w:style>
  <w:style w:type="numbering" w:customStyle="1" w:styleId="1112111">
    <w:name w:val="Нет списка1112111"/>
    <w:uiPriority w:val="99"/>
    <w:semiHidden/>
    <w:unhideWhenUsed/>
    <w:qFormat/>
  </w:style>
  <w:style w:type="numbering" w:customStyle="1" w:styleId="41111">
    <w:name w:val="Нет списка41111"/>
    <w:uiPriority w:val="99"/>
    <w:semiHidden/>
    <w:unhideWhenUsed/>
    <w:qFormat/>
  </w:style>
  <w:style w:type="numbering" w:customStyle="1" w:styleId="131111">
    <w:name w:val="Нет списка131111"/>
    <w:uiPriority w:val="99"/>
    <w:semiHidden/>
    <w:unhideWhenUsed/>
    <w:qFormat/>
  </w:style>
  <w:style w:type="numbering" w:customStyle="1" w:styleId="221111">
    <w:name w:val="Нет списка221111"/>
    <w:uiPriority w:val="99"/>
    <w:semiHidden/>
    <w:unhideWhenUsed/>
    <w:qFormat/>
  </w:style>
  <w:style w:type="numbering" w:customStyle="1" w:styleId="1121111">
    <w:name w:val="Нет списка1121111"/>
    <w:uiPriority w:val="99"/>
    <w:semiHidden/>
    <w:unhideWhenUsed/>
    <w:qFormat/>
  </w:style>
  <w:style w:type="numbering" w:customStyle="1" w:styleId="311111">
    <w:name w:val="Нет списка311111"/>
    <w:uiPriority w:val="99"/>
    <w:semiHidden/>
    <w:unhideWhenUsed/>
    <w:qFormat/>
  </w:style>
  <w:style w:type="numbering" w:customStyle="1" w:styleId="1211111">
    <w:name w:val="Нет списка1211111"/>
    <w:uiPriority w:val="99"/>
    <w:semiHidden/>
    <w:unhideWhenUsed/>
    <w:qFormat/>
  </w:style>
  <w:style w:type="numbering" w:customStyle="1" w:styleId="2111111">
    <w:name w:val="Нет списка2111111"/>
    <w:uiPriority w:val="99"/>
    <w:semiHidden/>
    <w:unhideWhenUsed/>
    <w:qFormat/>
  </w:style>
  <w:style w:type="numbering" w:customStyle="1" w:styleId="111111113">
    <w:name w:val="Нет списка111111113"/>
    <w:uiPriority w:val="99"/>
    <w:semiHidden/>
    <w:unhideWhenUsed/>
    <w:qFormat/>
  </w:style>
  <w:style w:type="numbering" w:customStyle="1" w:styleId="6211">
    <w:name w:val="Нет списка6211"/>
    <w:uiPriority w:val="99"/>
    <w:semiHidden/>
    <w:unhideWhenUsed/>
    <w:qFormat/>
  </w:style>
  <w:style w:type="numbering" w:customStyle="1" w:styleId="15111">
    <w:name w:val="Нет списка15111"/>
    <w:uiPriority w:val="99"/>
    <w:semiHidden/>
    <w:unhideWhenUsed/>
    <w:qFormat/>
  </w:style>
  <w:style w:type="numbering" w:customStyle="1" w:styleId="24111">
    <w:name w:val="Нет списка24111"/>
    <w:uiPriority w:val="99"/>
    <w:semiHidden/>
    <w:unhideWhenUsed/>
    <w:qFormat/>
  </w:style>
  <w:style w:type="numbering" w:customStyle="1" w:styleId="114111">
    <w:name w:val="Нет списка114111"/>
    <w:uiPriority w:val="99"/>
    <w:semiHidden/>
    <w:unhideWhenUsed/>
    <w:qFormat/>
  </w:style>
  <w:style w:type="numbering" w:customStyle="1" w:styleId="33111">
    <w:name w:val="Нет списка33111"/>
    <w:uiPriority w:val="99"/>
    <w:semiHidden/>
    <w:unhideWhenUsed/>
    <w:qFormat/>
  </w:style>
  <w:style w:type="numbering" w:customStyle="1" w:styleId="123111">
    <w:name w:val="Нет списка123111"/>
    <w:uiPriority w:val="99"/>
    <w:semiHidden/>
    <w:unhideWhenUsed/>
    <w:qFormat/>
  </w:style>
  <w:style w:type="numbering" w:customStyle="1" w:styleId="213111">
    <w:name w:val="Нет списка213111"/>
    <w:uiPriority w:val="99"/>
    <w:semiHidden/>
    <w:unhideWhenUsed/>
    <w:qFormat/>
  </w:style>
  <w:style w:type="numbering" w:customStyle="1" w:styleId="1113111">
    <w:name w:val="Нет списка1113111"/>
    <w:uiPriority w:val="99"/>
    <w:semiHidden/>
    <w:unhideWhenUsed/>
    <w:qFormat/>
  </w:style>
  <w:style w:type="numbering" w:customStyle="1" w:styleId="42111">
    <w:name w:val="Нет списка42111"/>
    <w:uiPriority w:val="99"/>
    <w:semiHidden/>
    <w:unhideWhenUsed/>
    <w:qFormat/>
  </w:style>
  <w:style w:type="numbering" w:customStyle="1" w:styleId="132111">
    <w:name w:val="Нет списка132111"/>
    <w:uiPriority w:val="99"/>
    <w:semiHidden/>
    <w:unhideWhenUsed/>
    <w:qFormat/>
  </w:style>
  <w:style w:type="numbering" w:customStyle="1" w:styleId="222111">
    <w:name w:val="Нет списка222111"/>
    <w:uiPriority w:val="99"/>
    <w:semiHidden/>
    <w:unhideWhenUsed/>
    <w:qFormat/>
  </w:style>
  <w:style w:type="numbering" w:customStyle="1" w:styleId="1122111">
    <w:name w:val="Нет списка1122111"/>
    <w:uiPriority w:val="99"/>
    <w:semiHidden/>
    <w:unhideWhenUsed/>
    <w:qFormat/>
  </w:style>
  <w:style w:type="numbering" w:customStyle="1" w:styleId="312111">
    <w:name w:val="Нет списка312111"/>
    <w:uiPriority w:val="99"/>
    <w:semiHidden/>
    <w:unhideWhenUsed/>
    <w:qFormat/>
  </w:style>
  <w:style w:type="numbering" w:customStyle="1" w:styleId="1212111">
    <w:name w:val="Нет списка1212111"/>
    <w:uiPriority w:val="99"/>
    <w:semiHidden/>
    <w:unhideWhenUsed/>
    <w:qFormat/>
  </w:style>
  <w:style w:type="numbering" w:customStyle="1" w:styleId="2112111">
    <w:name w:val="Нет списка2112111"/>
    <w:uiPriority w:val="99"/>
    <w:semiHidden/>
    <w:unhideWhenUsed/>
    <w:qFormat/>
  </w:style>
  <w:style w:type="numbering" w:customStyle="1" w:styleId="11112111">
    <w:name w:val="Нет списка11112111"/>
    <w:uiPriority w:val="99"/>
    <w:semiHidden/>
    <w:unhideWhenUsed/>
    <w:qFormat/>
  </w:style>
  <w:style w:type="numbering" w:customStyle="1" w:styleId="51111">
    <w:name w:val="Нет списка51111"/>
    <w:uiPriority w:val="99"/>
    <w:semiHidden/>
    <w:unhideWhenUsed/>
    <w:qFormat/>
  </w:style>
  <w:style w:type="numbering" w:customStyle="1" w:styleId="61111">
    <w:name w:val="Нет списка61111"/>
    <w:uiPriority w:val="99"/>
    <w:semiHidden/>
    <w:unhideWhenUsed/>
    <w:qFormat/>
  </w:style>
  <w:style w:type="numbering" w:customStyle="1" w:styleId="8110">
    <w:name w:val="Нет списка811"/>
    <w:uiPriority w:val="99"/>
    <w:semiHidden/>
    <w:unhideWhenUsed/>
    <w:qFormat/>
  </w:style>
  <w:style w:type="numbering" w:customStyle="1" w:styleId="9110">
    <w:name w:val="Нет списка911"/>
    <w:semiHidden/>
    <w:qFormat/>
  </w:style>
  <w:style w:type="numbering" w:customStyle="1" w:styleId="1011">
    <w:name w:val="Нет списка1011"/>
    <w:semiHidden/>
    <w:qFormat/>
  </w:style>
  <w:style w:type="numbering" w:customStyle="1" w:styleId="201">
    <w:name w:val="Нет списка201"/>
    <w:uiPriority w:val="99"/>
    <w:semiHidden/>
    <w:unhideWhenUsed/>
    <w:qFormat/>
  </w:style>
  <w:style w:type="numbering" w:customStyle="1" w:styleId="1171">
    <w:name w:val="Нет списка1171"/>
    <w:uiPriority w:val="99"/>
    <w:semiHidden/>
    <w:unhideWhenUsed/>
    <w:qFormat/>
  </w:style>
  <w:style w:type="numbering" w:customStyle="1" w:styleId="1181">
    <w:name w:val="Нет списка1181"/>
    <w:uiPriority w:val="99"/>
    <w:semiHidden/>
    <w:unhideWhenUsed/>
    <w:qFormat/>
  </w:style>
  <w:style w:type="numbering" w:customStyle="1" w:styleId="271">
    <w:name w:val="Нет списка271"/>
    <w:uiPriority w:val="99"/>
    <w:semiHidden/>
    <w:unhideWhenUsed/>
    <w:qFormat/>
  </w:style>
  <w:style w:type="numbering" w:customStyle="1" w:styleId="11161">
    <w:name w:val="Нет списка11161"/>
    <w:uiPriority w:val="99"/>
    <w:semiHidden/>
    <w:unhideWhenUsed/>
    <w:qFormat/>
  </w:style>
  <w:style w:type="numbering" w:customStyle="1" w:styleId="361">
    <w:name w:val="Нет списка361"/>
    <w:uiPriority w:val="99"/>
    <w:semiHidden/>
    <w:unhideWhenUsed/>
    <w:qFormat/>
  </w:style>
  <w:style w:type="numbering" w:customStyle="1" w:styleId="1261">
    <w:name w:val="Нет списка1261"/>
    <w:uiPriority w:val="99"/>
    <w:semiHidden/>
    <w:unhideWhenUsed/>
    <w:qFormat/>
  </w:style>
  <w:style w:type="numbering" w:customStyle="1" w:styleId="2161">
    <w:name w:val="Нет списка2161"/>
    <w:uiPriority w:val="99"/>
    <w:semiHidden/>
    <w:unhideWhenUsed/>
    <w:qFormat/>
  </w:style>
  <w:style w:type="numbering" w:customStyle="1" w:styleId="111151">
    <w:name w:val="Нет списка111151"/>
    <w:uiPriority w:val="99"/>
    <w:semiHidden/>
    <w:unhideWhenUsed/>
    <w:qFormat/>
  </w:style>
  <w:style w:type="numbering" w:customStyle="1" w:styleId="451">
    <w:name w:val="Нет списка451"/>
    <w:uiPriority w:val="99"/>
    <w:semiHidden/>
    <w:unhideWhenUsed/>
    <w:qFormat/>
  </w:style>
  <w:style w:type="numbering" w:customStyle="1" w:styleId="1351">
    <w:name w:val="Нет списка1351"/>
    <w:uiPriority w:val="99"/>
    <w:semiHidden/>
    <w:unhideWhenUsed/>
    <w:qFormat/>
  </w:style>
  <w:style w:type="numbering" w:customStyle="1" w:styleId="2251">
    <w:name w:val="Нет списка2251"/>
    <w:uiPriority w:val="99"/>
    <w:semiHidden/>
    <w:unhideWhenUsed/>
    <w:qFormat/>
  </w:style>
  <w:style w:type="numbering" w:customStyle="1" w:styleId="11251">
    <w:name w:val="Нет списка11251"/>
    <w:uiPriority w:val="99"/>
    <w:semiHidden/>
    <w:unhideWhenUsed/>
    <w:qFormat/>
  </w:style>
  <w:style w:type="numbering" w:customStyle="1" w:styleId="3151">
    <w:name w:val="Нет списка3151"/>
    <w:uiPriority w:val="99"/>
    <w:semiHidden/>
    <w:unhideWhenUsed/>
    <w:qFormat/>
  </w:style>
  <w:style w:type="numbering" w:customStyle="1" w:styleId="12151">
    <w:name w:val="Нет списка12151"/>
    <w:uiPriority w:val="99"/>
    <w:semiHidden/>
    <w:unhideWhenUsed/>
    <w:qFormat/>
  </w:style>
  <w:style w:type="numbering" w:customStyle="1" w:styleId="21151">
    <w:name w:val="Нет списка21151"/>
    <w:uiPriority w:val="99"/>
    <w:semiHidden/>
    <w:unhideWhenUsed/>
    <w:qFormat/>
  </w:style>
  <w:style w:type="numbering" w:customStyle="1" w:styleId="1111131">
    <w:name w:val="Нет списка1111131"/>
    <w:uiPriority w:val="99"/>
    <w:semiHidden/>
    <w:unhideWhenUsed/>
    <w:qFormat/>
  </w:style>
  <w:style w:type="numbering" w:customStyle="1" w:styleId="541">
    <w:name w:val="Нет списка541"/>
    <w:uiPriority w:val="99"/>
    <w:semiHidden/>
    <w:unhideWhenUsed/>
    <w:qFormat/>
  </w:style>
  <w:style w:type="numbering" w:customStyle="1" w:styleId="1431">
    <w:name w:val="Нет списка1431"/>
    <w:uiPriority w:val="99"/>
    <w:semiHidden/>
    <w:unhideWhenUsed/>
    <w:qFormat/>
  </w:style>
  <w:style w:type="numbering" w:customStyle="1" w:styleId="2331">
    <w:name w:val="Нет списка2331"/>
    <w:uiPriority w:val="99"/>
    <w:semiHidden/>
    <w:unhideWhenUsed/>
    <w:qFormat/>
  </w:style>
  <w:style w:type="numbering" w:customStyle="1" w:styleId="11331">
    <w:name w:val="Нет списка11331"/>
    <w:uiPriority w:val="99"/>
    <w:semiHidden/>
    <w:unhideWhenUsed/>
    <w:qFormat/>
  </w:style>
  <w:style w:type="numbering" w:customStyle="1" w:styleId="3231">
    <w:name w:val="Нет списка3231"/>
    <w:uiPriority w:val="99"/>
    <w:semiHidden/>
    <w:unhideWhenUsed/>
    <w:qFormat/>
  </w:style>
  <w:style w:type="numbering" w:customStyle="1" w:styleId="12231">
    <w:name w:val="Нет списка12231"/>
    <w:uiPriority w:val="99"/>
    <w:semiHidden/>
    <w:unhideWhenUsed/>
    <w:qFormat/>
  </w:style>
  <w:style w:type="numbering" w:customStyle="1" w:styleId="21231">
    <w:name w:val="Нет списка21231"/>
    <w:uiPriority w:val="99"/>
    <w:semiHidden/>
    <w:unhideWhenUsed/>
    <w:qFormat/>
  </w:style>
  <w:style w:type="numbering" w:customStyle="1" w:styleId="111231">
    <w:name w:val="Нет списка111231"/>
    <w:uiPriority w:val="99"/>
    <w:semiHidden/>
    <w:unhideWhenUsed/>
    <w:qFormat/>
  </w:style>
  <w:style w:type="numbering" w:customStyle="1" w:styleId="4131">
    <w:name w:val="Нет списка4131"/>
    <w:uiPriority w:val="99"/>
    <w:semiHidden/>
    <w:unhideWhenUsed/>
    <w:qFormat/>
  </w:style>
  <w:style w:type="numbering" w:customStyle="1" w:styleId="13131">
    <w:name w:val="Нет списка13131"/>
    <w:uiPriority w:val="99"/>
    <w:semiHidden/>
    <w:unhideWhenUsed/>
    <w:qFormat/>
  </w:style>
  <w:style w:type="numbering" w:customStyle="1" w:styleId="22131">
    <w:name w:val="Нет списка22131"/>
    <w:uiPriority w:val="99"/>
    <w:semiHidden/>
    <w:unhideWhenUsed/>
    <w:qFormat/>
  </w:style>
  <w:style w:type="numbering" w:customStyle="1" w:styleId="112131">
    <w:name w:val="Нет списка112131"/>
    <w:uiPriority w:val="99"/>
    <w:semiHidden/>
    <w:unhideWhenUsed/>
    <w:qFormat/>
  </w:style>
  <w:style w:type="numbering" w:customStyle="1" w:styleId="31131">
    <w:name w:val="Нет списка31131"/>
    <w:uiPriority w:val="99"/>
    <w:semiHidden/>
    <w:unhideWhenUsed/>
    <w:qFormat/>
  </w:style>
  <w:style w:type="numbering" w:customStyle="1" w:styleId="121131">
    <w:name w:val="Нет списка121131"/>
    <w:uiPriority w:val="99"/>
    <w:semiHidden/>
    <w:unhideWhenUsed/>
    <w:qFormat/>
  </w:style>
  <w:style w:type="numbering" w:customStyle="1" w:styleId="211131">
    <w:name w:val="Нет списка211131"/>
    <w:uiPriority w:val="99"/>
    <w:semiHidden/>
    <w:unhideWhenUsed/>
    <w:qFormat/>
  </w:style>
  <w:style w:type="numbering" w:customStyle="1" w:styleId="11111131">
    <w:name w:val="Нет списка11111131"/>
    <w:uiPriority w:val="99"/>
    <w:semiHidden/>
    <w:unhideWhenUsed/>
    <w:qFormat/>
  </w:style>
  <w:style w:type="numbering" w:customStyle="1" w:styleId="641">
    <w:name w:val="Нет списка641"/>
    <w:uiPriority w:val="99"/>
    <w:semiHidden/>
    <w:unhideWhenUsed/>
    <w:qFormat/>
  </w:style>
  <w:style w:type="numbering" w:customStyle="1" w:styleId="1531">
    <w:name w:val="Нет списка1531"/>
    <w:uiPriority w:val="99"/>
    <w:semiHidden/>
    <w:unhideWhenUsed/>
    <w:qFormat/>
  </w:style>
  <w:style w:type="numbering" w:customStyle="1" w:styleId="2431">
    <w:name w:val="Нет списка2431"/>
    <w:uiPriority w:val="99"/>
    <w:semiHidden/>
    <w:unhideWhenUsed/>
    <w:qFormat/>
  </w:style>
  <w:style w:type="numbering" w:customStyle="1" w:styleId="11431">
    <w:name w:val="Нет списка11431"/>
    <w:uiPriority w:val="99"/>
    <w:semiHidden/>
    <w:unhideWhenUsed/>
    <w:qFormat/>
  </w:style>
  <w:style w:type="numbering" w:customStyle="1" w:styleId="3331">
    <w:name w:val="Нет списка3331"/>
    <w:uiPriority w:val="99"/>
    <w:semiHidden/>
    <w:unhideWhenUsed/>
    <w:qFormat/>
  </w:style>
  <w:style w:type="numbering" w:customStyle="1" w:styleId="12331">
    <w:name w:val="Нет списка12331"/>
    <w:uiPriority w:val="99"/>
    <w:semiHidden/>
    <w:unhideWhenUsed/>
    <w:qFormat/>
  </w:style>
  <w:style w:type="numbering" w:customStyle="1" w:styleId="21331">
    <w:name w:val="Нет списка21331"/>
    <w:uiPriority w:val="99"/>
    <w:semiHidden/>
    <w:unhideWhenUsed/>
    <w:qFormat/>
  </w:style>
  <w:style w:type="numbering" w:customStyle="1" w:styleId="111331">
    <w:name w:val="Нет списка111331"/>
    <w:uiPriority w:val="99"/>
    <w:semiHidden/>
    <w:unhideWhenUsed/>
    <w:qFormat/>
  </w:style>
  <w:style w:type="numbering" w:customStyle="1" w:styleId="4231">
    <w:name w:val="Нет списка4231"/>
    <w:uiPriority w:val="99"/>
    <w:semiHidden/>
    <w:unhideWhenUsed/>
    <w:qFormat/>
  </w:style>
  <w:style w:type="numbering" w:customStyle="1" w:styleId="13231">
    <w:name w:val="Нет списка13231"/>
    <w:uiPriority w:val="99"/>
    <w:semiHidden/>
    <w:unhideWhenUsed/>
    <w:qFormat/>
  </w:style>
  <w:style w:type="numbering" w:customStyle="1" w:styleId="22231">
    <w:name w:val="Нет списка22231"/>
    <w:uiPriority w:val="99"/>
    <w:semiHidden/>
    <w:unhideWhenUsed/>
    <w:qFormat/>
  </w:style>
  <w:style w:type="numbering" w:customStyle="1" w:styleId="112231">
    <w:name w:val="Нет списка112231"/>
    <w:uiPriority w:val="99"/>
    <w:semiHidden/>
    <w:unhideWhenUsed/>
    <w:qFormat/>
  </w:style>
  <w:style w:type="numbering" w:customStyle="1" w:styleId="31231">
    <w:name w:val="Нет списка31231"/>
    <w:uiPriority w:val="99"/>
    <w:semiHidden/>
    <w:unhideWhenUsed/>
    <w:qFormat/>
  </w:style>
  <w:style w:type="numbering" w:customStyle="1" w:styleId="121231">
    <w:name w:val="Нет списка121231"/>
    <w:uiPriority w:val="99"/>
    <w:semiHidden/>
    <w:unhideWhenUsed/>
    <w:qFormat/>
  </w:style>
  <w:style w:type="numbering" w:customStyle="1" w:styleId="211231">
    <w:name w:val="Нет списка211231"/>
    <w:uiPriority w:val="99"/>
    <w:semiHidden/>
    <w:unhideWhenUsed/>
    <w:qFormat/>
  </w:style>
  <w:style w:type="numbering" w:customStyle="1" w:styleId="1111231">
    <w:name w:val="Нет списка1111231"/>
    <w:uiPriority w:val="99"/>
    <w:semiHidden/>
    <w:unhideWhenUsed/>
    <w:qFormat/>
  </w:style>
  <w:style w:type="numbering" w:customStyle="1" w:styleId="5131">
    <w:name w:val="Нет списка5131"/>
    <w:uiPriority w:val="99"/>
    <w:semiHidden/>
    <w:unhideWhenUsed/>
    <w:qFormat/>
  </w:style>
  <w:style w:type="numbering" w:customStyle="1" w:styleId="6131">
    <w:name w:val="Нет списка6131"/>
    <w:uiPriority w:val="99"/>
    <w:semiHidden/>
    <w:unhideWhenUsed/>
    <w:qFormat/>
  </w:style>
  <w:style w:type="numbering" w:customStyle="1" w:styleId="721">
    <w:name w:val="Нет списка721"/>
    <w:uiPriority w:val="99"/>
    <w:semiHidden/>
    <w:unhideWhenUsed/>
    <w:qFormat/>
  </w:style>
  <w:style w:type="numbering" w:customStyle="1" w:styleId="1621">
    <w:name w:val="Нет списка1621"/>
    <w:uiPriority w:val="99"/>
    <w:semiHidden/>
    <w:unhideWhenUsed/>
    <w:qFormat/>
  </w:style>
  <w:style w:type="numbering" w:customStyle="1" w:styleId="11521">
    <w:name w:val="Нет списка11521"/>
    <w:uiPriority w:val="99"/>
    <w:semiHidden/>
    <w:unhideWhenUsed/>
    <w:qFormat/>
  </w:style>
  <w:style w:type="numbering" w:customStyle="1" w:styleId="2521">
    <w:name w:val="Нет списка2521"/>
    <w:uiPriority w:val="99"/>
    <w:semiHidden/>
    <w:unhideWhenUsed/>
    <w:qFormat/>
  </w:style>
  <w:style w:type="numbering" w:customStyle="1" w:styleId="111421">
    <w:name w:val="Нет списка111421"/>
    <w:uiPriority w:val="99"/>
    <w:semiHidden/>
    <w:unhideWhenUsed/>
    <w:qFormat/>
  </w:style>
  <w:style w:type="numbering" w:customStyle="1" w:styleId="3421">
    <w:name w:val="Нет списка3421"/>
    <w:uiPriority w:val="99"/>
    <w:semiHidden/>
    <w:unhideWhenUsed/>
    <w:qFormat/>
  </w:style>
  <w:style w:type="numbering" w:customStyle="1" w:styleId="12421">
    <w:name w:val="Нет списка12421"/>
    <w:uiPriority w:val="99"/>
    <w:semiHidden/>
    <w:unhideWhenUsed/>
    <w:qFormat/>
  </w:style>
  <w:style w:type="numbering" w:customStyle="1" w:styleId="21421">
    <w:name w:val="Нет списка21421"/>
    <w:uiPriority w:val="99"/>
    <w:semiHidden/>
    <w:unhideWhenUsed/>
    <w:qFormat/>
  </w:style>
  <w:style w:type="numbering" w:customStyle="1" w:styleId="1111321">
    <w:name w:val="Нет списка1111321"/>
    <w:uiPriority w:val="99"/>
    <w:semiHidden/>
    <w:unhideWhenUsed/>
    <w:qFormat/>
  </w:style>
  <w:style w:type="numbering" w:customStyle="1" w:styleId="4321">
    <w:name w:val="Нет списка4321"/>
    <w:uiPriority w:val="99"/>
    <w:semiHidden/>
    <w:unhideWhenUsed/>
    <w:qFormat/>
  </w:style>
  <w:style w:type="numbering" w:customStyle="1" w:styleId="13321">
    <w:name w:val="Нет списка13321"/>
    <w:uiPriority w:val="99"/>
    <w:semiHidden/>
    <w:unhideWhenUsed/>
    <w:qFormat/>
  </w:style>
  <w:style w:type="numbering" w:customStyle="1" w:styleId="22321">
    <w:name w:val="Нет списка22321"/>
    <w:uiPriority w:val="99"/>
    <w:semiHidden/>
    <w:unhideWhenUsed/>
    <w:qFormat/>
  </w:style>
  <w:style w:type="numbering" w:customStyle="1" w:styleId="112321">
    <w:name w:val="Нет списка112321"/>
    <w:uiPriority w:val="99"/>
    <w:semiHidden/>
    <w:unhideWhenUsed/>
    <w:qFormat/>
  </w:style>
  <w:style w:type="numbering" w:customStyle="1" w:styleId="31321">
    <w:name w:val="Нет списка31321"/>
    <w:uiPriority w:val="99"/>
    <w:semiHidden/>
    <w:unhideWhenUsed/>
    <w:qFormat/>
  </w:style>
  <w:style w:type="numbering" w:customStyle="1" w:styleId="121321">
    <w:name w:val="Нет списка121321"/>
    <w:uiPriority w:val="99"/>
    <w:semiHidden/>
    <w:unhideWhenUsed/>
    <w:qFormat/>
  </w:style>
  <w:style w:type="numbering" w:customStyle="1" w:styleId="211321">
    <w:name w:val="Нет списка211321"/>
    <w:uiPriority w:val="99"/>
    <w:semiHidden/>
    <w:unhideWhenUsed/>
    <w:qFormat/>
  </w:style>
  <w:style w:type="numbering" w:customStyle="1" w:styleId="111111121">
    <w:name w:val="Нет списка111111121"/>
    <w:uiPriority w:val="99"/>
    <w:semiHidden/>
    <w:unhideWhenUsed/>
    <w:qFormat/>
  </w:style>
  <w:style w:type="numbering" w:customStyle="1" w:styleId="5221">
    <w:name w:val="Нет списка5221"/>
    <w:uiPriority w:val="99"/>
    <w:semiHidden/>
    <w:unhideWhenUsed/>
    <w:qFormat/>
  </w:style>
  <w:style w:type="numbering" w:customStyle="1" w:styleId="14121">
    <w:name w:val="Нет списка14121"/>
    <w:uiPriority w:val="99"/>
    <w:semiHidden/>
    <w:unhideWhenUsed/>
    <w:qFormat/>
  </w:style>
  <w:style w:type="numbering" w:customStyle="1" w:styleId="23121">
    <w:name w:val="Нет списка23121"/>
    <w:uiPriority w:val="99"/>
    <w:semiHidden/>
    <w:unhideWhenUsed/>
    <w:qFormat/>
  </w:style>
  <w:style w:type="numbering" w:customStyle="1" w:styleId="113121">
    <w:name w:val="Нет списка113121"/>
    <w:uiPriority w:val="99"/>
    <w:semiHidden/>
    <w:unhideWhenUsed/>
    <w:qFormat/>
  </w:style>
  <w:style w:type="numbering" w:customStyle="1" w:styleId="32121">
    <w:name w:val="Нет списка32121"/>
    <w:uiPriority w:val="99"/>
    <w:semiHidden/>
    <w:unhideWhenUsed/>
    <w:qFormat/>
  </w:style>
  <w:style w:type="numbering" w:customStyle="1" w:styleId="122121">
    <w:name w:val="Нет списка122121"/>
    <w:uiPriority w:val="99"/>
    <w:semiHidden/>
    <w:unhideWhenUsed/>
    <w:qFormat/>
  </w:style>
  <w:style w:type="numbering" w:customStyle="1" w:styleId="212121">
    <w:name w:val="Нет списка212121"/>
    <w:uiPriority w:val="99"/>
    <w:semiHidden/>
    <w:unhideWhenUsed/>
    <w:qFormat/>
  </w:style>
  <w:style w:type="numbering" w:customStyle="1" w:styleId="1112121">
    <w:name w:val="Нет списка1112121"/>
    <w:uiPriority w:val="99"/>
    <w:semiHidden/>
    <w:unhideWhenUsed/>
    <w:qFormat/>
  </w:style>
  <w:style w:type="numbering" w:customStyle="1" w:styleId="41121">
    <w:name w:val="Нет списка41121"/>
    <w:uiPriority w:val="99"/>
    <w:semiHidden/>
    <w:unhideWhenUsed/>
    <w:qFormat/>
  </w:style>
  <w:style w:type="numbering" w:customStyle="1" w:styleId="131121">
    <w:name w:val="Нет списка131121"/>
    <w:uiPriority w:val="99"/>
    <w:semiHidden/>
    <w:unhideWhenUsed/>
    <w:qFormat/>
  </w:style>
  <w:style w:type="numbering" w:customStyle="1" w:styleId="221121">
    <w:name w:val="Нет списка221121"/>
    <w:uiPriority w:val="99"/>
    <w:semiHidden/>
    <w:unhideWhenUsed/>
    <w:qFormat/>
  </w:style>
  <w:style w:type="numbering" w:customStyle="1" w:styleId="1121121">
    <w:name w:val="Нет списка1121121"/>
    <w:uiPriority w:val="99"/>
    <w:semiHidden/>
    <w:unhideWhenUsed/>
    <w:qFormat/>
  </w:style>
  <w:style w:type="numbering" w:customStyle="1" w:styleId="311121">
    <w:name w:val="Нет списка311121"/>
    <w:uiPriority w:val="99"/>
    <w:semiHidden/>
    <w:unhideWhenUsed/>
    <w:qFormat/>
  </w:style>
  <w:style w:type="numbering" w:customStyle="1" w:styleId="1211121">
    <w:name w:val="Нет списка1211121"/>
    <w:uiPriority w:val="99"/>
    <w:semiHidden/>
    <w:unhideWhenUsed/>
    <w:qFormat/>
  </w:style>
  <w:style w:type="numbering" w:customStyle="1" w:styleId="2111121">
    <w:name w:val="Нет списка2111121"/>
    <w:uiPriority w:val="99"/>
    <w:semiHidden/>
    <w:unhideWhenUsed/>
    <w:qFormat/>
  </w:style>
  <w:style w:type="numbering" w:customStyle="1" w:styleId="1111111111">
    <w:name w:val="Нет списка1111111111"/>
    <w:uiPriority w:val="99"/>
    <w:semiHidden/>
    <w:unhideWhenUsed/>
    <w:qFormat/>
  </w:style>
  <w:style w:type="numbering" w:customStyle="1" w:styleId="6221">
    <w:name w:val="Нет списка6221"/>
    <w:uiPriority w:val="99"/>
    <w:semiHidden/>
    <w:unhideWhenUsed/>
    <w:qFormat/>
  </w:style>
  <w:style w:type="numbering" w:customStyle="1" w:styleId="15121">
    <w:name w:val="Нет списка15121"/>
    <w:uiPriority w:val="99"/>
    <w:semiHidden/>
    <w:unhideWhenUsed/>
    <w:qFormat/>
  </w:style>
  <w:style w:type="numbering" w:customStyle="1" w:styleId="24121">
    <w:name w:val="Нет списка24121"/>
    <w:uiPriority w:val="99"/>
    <w:semiHidden/>
    <w:unhideWhenUsed/>
    <w:qFormat/>
  </w:style>
  <w:style w:type="numbering" w:customStyle="1" w:styleId="114121">
    <w:name w:val="Нет списка114121"/>
    <w:uiPriority w:val="99"/>
    <w:semiHidden/>
    <w:unhideWhenUsed/>
    <w:qFormat/>
  </w:style>
  <w:style w:type="numbering" w:customStyle="1" w:styleId="33121">
    <w:name w:val="Нет списка33121"/>
    <w:uiPriority w:val="99"/>
    <w:semiHidden/>
    <w:unhideWhenUsed/>
    <w:qFormat/>
  </w:style>
  <w:style w:type="numbering" w:customStyle="1" w:styleId="123121">
    <w:name w:val="Нет списка123121"/>
    <w:uiPriority w:val="99"/>
    <w:semiHidden/>
    <w:unhideWhenUsed/>
    <w:qFormat/>
  </w:style>
  <w:style w:type="numbering" w:customStyle="1" w:styleId="213121">
    <w:name w:val="Нет списка213121"/>
    <w:uiPriority w:val="99"/>
    <w:semiHidden/>
    <w:unhideWhenUsed/>
    <w:qFormat/>
  </w:style>
  <w:style w:type="numbering" w:customStyle="1" w:styleId="1113121">
    <w:name w:val="Нет списка1113121"/>
    <w:uiPriority w:val="99"/>
    <w:semiHidden/>
    <w:unhideWhenUsed/>
    <w:qFormat/>
  </w:style>
  <w:style w:type="numbering" w:customStyle="1" w:styleId="42121">
    <w:name w:val="Нет списка42121"/>
    <w:uiPriority w:val="99"/>
    <w:semiHidden/>
    <w:unhideWhenUsed/>
    <w:qFormat/>
  </w:style>
  <w:style w:type="numbering" w:customStyle="1" w:styleId="132121">
    <w:name w:val="Нет списка132121"/>
    <w:uiPriority w:val="99"/>
    <w:semiHidden/>
    <w:unhideWhenUsed/>
    <w:qFormat/>
  </w:style>
  <w:style w:type="numbering" w:customStyle="1" w:styleId="222121">
    <w:name w:val="Нет списка222121"/>
    <w:uiPriority w:val="99"/>
    <w:semiHidden/>
    <w:unhideWhenUsed/>
    <w:qFormat/>
  </w:style>
  <w:style w:type="numbering" w:customStyle="1" w:styleId="1122121">
    <w:name w:val="Нет списка1122121"/>
    <w:uiPriority w:val="99"/>
    <w:semiHidden/>
    <w:unhideWhenUsed/>
    <w:qFormat/>
  </w:style>
  <w:style w:type="numbering" w:customStyle="1" w:styleId="312121">
    <w:name w:val="Нет списка312121"/>
    <w:uiPriority w:val="99"/>
    <w:semiHidden/>
    <w:unhideWhenUsed/>
    <w:qFormat/>
  </w:style>
  <w:style w:type="numbering" w:customStyle="1" w:styleId="1212121">
    <w:name w:val="Нет списка1212121"/>
    <w:uiPriority w:val="99"/>
    <w:semiHidden/>
    <w:unhideWhenUsed/>
    <w:qFormat/>
  </w:style>
  <w:style w:type="numbering" w:customStyle="1" w:styleId="2112121">
    <w:name w:val="Нет списка2112121"/>
    <w:uiPriority w:val="99"/>
    <w:semiHidden/>
    <w:unhideWhenUsed/>
    <w:qFormat/>
  </w:style>
  <w:style w:type="numbering" w:customStyle="1" w:styleId="11112121">
    <w:name w:val="Нет списка11112121"/>
    <w:uiPriority w:val="99"/>
    <w:semiHidden/>
    <w:unhideWhenUsed/>
    <w:qFormat/>
  </w:style>
  <w:style w:type="numbering" w:customStyle="1" w:styleId="51121">
    <w:name w:val="Нет списка51121"/>
    <w:uiPriority w:val="99"/>
    <w:semiHidden/>
    <w:unhideWhenUsed/>
    <w:qFormat/>
  </w:style>
  <w:style w:type="numbering" w:customStyle="1" w:styleId="61121">
    <w:name w:val="Нет списка61121"/>
    <w:uiPriority w:val="99"/>
    <w:semiHidden/>
    <w:unhideWhenUsed/>
    <w:qFormat/>
  </w:style>
  <w:style w:type="numbering" w:customStyle="1" w:styleId="821">
    <w:name w:val="Нет списка821"/>
    <w:uiPriority w:val="99"/>
    <w:semiHidden/>
    <w:unhideWhenUsed/>
    <w:qFormat/>
  </w:style>
  <w:style w:type="numbering" w:customStyle="1" w:styleId="921">
    <w:name w:val="Нет списка921"/>
    <w:semiHidden/>
    <w:qFormat/>
  </w:style>
  <w:style w:type="numbering" w:customStyle="1" w:styleId="1021">
    <w:name w:val="Нет списка1021"/>
    <w:semiHidden/>
    <w:qFormat/>
  </w:style>
  <w:style w:type="numbering" w:customStyle="1" w:styleId="281">
    <w:name w:val="Нет списка281"/>
    <w:uiPriority w:val="99"/>
    <w:semiHidden/>
    <w:unhideWhenUsed/>
    <w:qFormat/>
  </w:style>
  <w:style w:type="numbering" w:customStyle="1" w:styleId="1191">
    <w:name w:val="Нет списка1191"/>
    <w:uiPriority w:val="99"/>
    <w:semiHidden/>
    <w:unhideWhenUsed/>
    <w:qFormat/>
  </w:style>
  <w:style w:type="numbering" w:customStyle="1" w:styleId="11101">
    <w:name w:val="Нет списка11101"/>
    <w:uiPriority w:val="99"/>
    <w:semiHidden/>
    <w:unhideWhenUsed/>
    <w:qFormat/>
  </w:style>
  <w:style w:type="numbering" w:customStyle="1" w:styleId="291">
    <w:name w:val="Нет списка291"/>
    <w:uiPriority w:val="99"/>
    <w:semiHidden/>
    <w:unhideWhenUsed/>
    <w:qFormat/>
  </w:style>
  <w:style w:type="numbering" w:customStyle="1" w:styleId="11171">
    <w:name w:val="Нет списка11171"/>
    <w:uiPriority w:val="99"/>
    <w:semiHidden/>
    <w:unhideWhenUsed/>
    <w:qFormat/>
  </w:style>
  <w:style w:type="numbering" w:customStyle="1" w:styleId="371">
    <w:name w:val="Нет списка371"/>
    <w:uiPriority w:val="99"/>
    <w:semiHidden/>
    <w:unhideWhenUsed/>
    <w:qFormat/>
  </w:style>
  <w:style w:type="numbering" w:customStyle="1" w:styleId="1271">
    <w:name w:val="Нет списка1271"/>
    <w:uiPriority w:val="99"/>
    <w:semiHidden/>
    <w:unhideWhenUsed/>
    <w:qFormat/>
  </w:style>
  <w:style w:type="numbering" w:customStyle="1" w:styleId="2171">
    <w:name w:val="Нет списка2171"/>
    <w:uiPriority w:val="99"/>
    <w:semiHidden/>
    <w:unhideWhenUsed/>
    <w:qFormat/>
  </w:style>
  <w:style w:type="numbering" w:customStyle="1" w:styleId="111161">
    <w:name w:val="Нет списка111161"/>
    <w:uiPriority w:val="99"/>
    <w:semiHidden/>
    <w:unhideWhenUsed/>
    <w:qFormat/>
  </w:style>
  <w:style w:type="numbering" w:customStyle="1" w:styleId="461">
    <w:name w:val="Нет списка461"/>
    <w:uiPriority w:val="99"/>
    <w:semiHidden/>
    <w:unhideWhenUsed/>
    <w:qFormat/>
  </w:style>
  <w:style w:type="numbering" w:customStyle="1" w:styleId="1361">
    <w:name w:val="Нет списка1361"/>
    <w:uiPriority w:val="99"/>
    <w:semiHidden/>
    <w:unhideWhenUsed/>
    <w:qFormat/>
  </w:style>
  <w:style w:type="numbering" w:customStyle="1" w:styleId="2261">
    <w:name w:val="Нет списка2261"/>
    <w:uiPriority w:val="99"/>
    <w:semiHidden/>
    <w:unhideWhenUsed/>
    <w:qFormat/>
  </w:style>
  <w:style w:type="numbering" w:customStyle="1" w:styleId="11261">
    <w:name w:val="Нет списка11261"/>
    <w:uiPriority w:val="99"/>
    <w:semiHidden/>
    <w:unhideWhenUsed/>
    <w:qFormat/>
  </w:style>
  <w:style w:type="numbering" w:customStyle="1" w:styleId="3161">
    <w:name w:val="Нет списка3161"/>
    <w:uiPriority w:val="99"/>
    <w:semiHidden/>
    <w:unhideWhenUsed/>
    <w:qFormat/>
  </w:style>
  <w:style w:type="numbering" w:customStyle="1" w:styleId="12161">
    <w:name w:val="Нет списка12161"/>
    <w:uiPriority w:val="99"/>
    <w:semiHidden/>
    <w:unhideWhenUsed/>
    <w:qFormat/>
  </w:style>
  <w:style w:type="numbering" w:customStyle="1" w:styleId="21161">
    <w:name w:val="Нет списка21161"/>
    <w:uiPriority w:val="99"/>
    <w:semiHidden/>
    <w:unhideWhenUsed/>
    <w:qFormat/>
  </w:style>
  <w:style w:type="numbering" w:customStyle="1" w:styleId="1111141">
    <w:name w:val="Нет списка1111141"/>
    <w:uiPriority w:val="99"/>
    <w:semiHidden/>
    <w:unhideWhenUsed/>
    <w:qFormat/>
  </w:style>
  <w:style w:type="numbering" w:customStyle="1" w:styleId="551">
    <w:name w:val="Нет списка551"/>
    <w:uiPriority w:val="99"/>
    <w:semiHidden/>
    <w:unhideWhenUsed/>
    <w:qFormat/>
  </w:style>
  <w:style w:type="numbering" w:customStyle="1" w:styleId="1441">
    <w:name w:val="Нет списка1441"/>
    <w:uiPriority w:val="99"/>
    <w:semiHidden/>
    <w:unhideWhenUsed/>
    <w:qFormat/>
  </w:style>
  <w:style w:type="numbering" w:customStyle="1" w:styleId="2341">
    <w:name w:val="Нет списка2341"/>
    <w:uiPriority w:val="99"/>
    <w:semiHidden/>
    <w:unhideWhenUsed/>
    <w:qFormat/>
  </w:style>
  <w:style w:type="numbering" w:customStyle="1" w:styleId="11341">
    <w:name w:val="Нет списка11341"/>
    <w:uiPriority w:val="99"/>
    <w:semiHidden/>
    <w:unhideWhenUsed/>
    <w:qFormat/>
  </w:style>
  <w:style w:type="numbering" w:customStyle="1" w:styleId="3241">
    <w:name w:val="Нет списка3241"/>
    <w:uiPriority w:val="99"/>
    <w:semiHidden/>
    <w:unhideWhenUsed/>
    <w:qFormat/>
  </w:style>
  <w:style w:type="numbering" w:customStyle="1" w:styleId="12241">
    <w:name w:val="Нет списка12241"/>
    <w:uiPriority w:val="99"/>
    <w:semiHidden/>
    <w:unhideWhenUsed/>
    <w:qFormat/>
  </w:style>
  <w:style w:type="numbering" w:customStyle="1" w:styleId="21241">
    <w:name w:val="Нет списка21241"/>
    <w:uiPriority w:val="99"/>
    <w:semiHidden/>
    <w:unhideWhenUsed/>
    <w:qFormat/>
  </w:style>
  <w:style w:type="numbering" w:customStyle="1" w:styleId="111241">
    <w:name w:val="Нет списка111241"/>
    <w:uiPriority w:val="99"/>
    <w:semiHidden/>
    <w:unhideWhenUsed/>
    <w:qFormat/>
  </w:style>
  <w:style w:type="numbering" w:customStyle="1" w:styleId="4141">
    <w:name w:val="Нет списка4141"/>
    <w:uiPriority w:val="99"/>
    <w:semiHidden/>
    <w:unhideWhenUsed/>
    <w:qFormat/>
  </w:style>
  <w:style w:type="numbering" w:customStyle="1" w:styleId="13141">
    <w:name w:val="Нет списка13141"/>
    <w:uiPriority w:val="99"/>
    <w:semiHidden/>
    <w:unhideWhenUsed/>
    <w:qFormat/>
  </w:style>
  <w:style w:type="numbering" w:customStyle="1" w:styleId="22141">
    <w:name w:val="Нет списка22141"/>
    <w:uiPriority w:val="99"/>
    <w:semiHidden/>
    <w:unhideWhenUsed/>
    <w:qFormat/>
  </w:style>
  <w:style w:type="numbering" w:customStyle="1" w:styleId="112141">
    <w:name w:val="Нет списка112141"/>
    <w:uiPriority w:val="99"/>
    <w:semiHidden/>
    <w:unhideWhenUsed/>
    <w:qFormat/>
  </w:style>
  <w:style w:type="numbering" w:customStyle="1" w:styleId="31141">
    <w:name w:val="Нет списка31141"/>
    <w:uiPriority w:val="99"/>
    <w:semiHidden/>
    <w:unhideWhenUsed/>
    <w:qFormat/>
  </w:style>
  <w:style w:type="numbering" w:customStyle="1" w:styleId="121141">
    <w:name w:val="Нет списка121141"/>
    <w:uiPriority w:val="99"/>
    <w:semiHidden/>
    <w:unhideWhenUsed/>
    <w:qFormat/>
  </w:style>
  <w:style w:type="numbering" w:customStyle="1" w:styleId="211141">
    <w:name w:val="Нет списка211141"/>
    <w:uiPriority w:val="99"/>
    <w:semiHidden/>
    <w:unhideWhenUsed/>
    <w:qFormat/>
  </w:style>
  <w:style w:type="numbering" w:customStyle="1" w:styleId="11111141">
    <w:name w:val="Нет списка11111141"/>
    <w:uiPriority w:val="99"/>
    <w:semiHidden/>
    <w:unhideWhenUsed/>
    <w:qFormat/>
  </w:style>
  <w:style w:type="numbering" w:customStyle="1" w:styleId="651">
    <w:name w:val="Нет списка651"/>
    <w:uiPriority w:val="99"/>
    <w:semiHidden/>
    <w:unhideWhenUsed/>
    <w:qFormat/>
  </w:style>
  <w:style w:type="numbering" w:customStyle="1" w:styleId="1541">
    <w:name w:val="Нет списка1541"/>
    <w:uiPriority w:val="99"/>
    <w:semiHidden/>
    <w:unhideWhenUsed/>
    <w:qFormat/>
  </w:style>
  <w:style w:type="numbering" w:customStyle="1" w:styleId="2441">
    <w:name w:val="Нет списка2441"/>
    <w:uiPriority w:val="99"/>
    <w:semiHidden/>
    <w:unhideWhenUsed/>
    <w:qFormat/>
  </w:style>
  <w:style w:type="numbering" w:customStyle="1" w:styleId="11441">
    <w:name w:val="Нет списка11441"/>
    <w:uiPriority w:val="99"/>
    <w:semiHidden/>
    <w:unhideWhenUsed/>
    <w:qFormat/>
  </w:style>
  <w:style w:type="numbering" w:customStyle="1" w:styleId="3341">
    <w:name w:val="Нет списка3341"/>
    <w:uiPriority w:val="99"/>
    <w:semiHidden/>
    <w:unhideWhenUsed/>
    <w:qFormat/>
  </w:style>
  <w:style w:type="numbering" w:customStyle="1" w:styleId="12341">
    <w:name w:val="Нет списка12341"/>
    <w:uiPriority w:val="99"/>
    <w:semiHidden/>
    <w:unhideWhenUsed/>
    <w:qFormat/>
  </w:style>
  <w:style w:type="numbering" w:customStyle="1" w:styleId="21341">
    <w:name w:val="Нет списка21341"/>
    <w:uiPriority w:val="99"/>
    <w:semiHidden/>
    <w:unhideWhenUsed/>
    <w:qFormat/>
  </w:style>
  <w:style w:type="numbering" w:customStyle="1" w:styleId="111341">
    <w:name w:val="Нет списка111341"/>
    <w:uiPriority w:val="99"/>
    <w:semiHidden/>
    <w:unhideWhenUsed/>
    <w:qFormat/>
  </w:style>
  <w:style w:type="numbering" w:customStyle="1" w:styleId="4241">
    <w:name w:val="Нет списка4241"/>
    <w:uiPriority w:val="99"/>
    <w:semiHidden/>
    <w:unhideWhenUsed/>
    <w:qFormat/>
  </w:style>
  <w:style w:type="numbering" w:customStyle="1" w:styleId="13241">
    <w:name w:val="Нет списка13241"/>
    <w:uiPriority w:val="99"/>
    <w:semiHidden/>
    <w:unhideWhenUsed/>
    <w:qFormat/>
  </w:style>
  <w:style w:type="numbering" w:customStyle="1" w:styleId="22241">
    <w:name w:val="Нет списка22241"/>
    <w:uiPriority w:val="99"/>
    <w:semiHidden/>
    <w:unhideWhenUsed/>
    <w:qFormat/>
  </w:style>
  <w:style w:type="numbering" w:customStyle="1" w:styleId="112241">
    <w:name w:val="Нет списка112241"/>
    <w:uiPriority w:val="99"/>
    <w:semiHidden/>
    <w:unhideWhenUsed/>
    <w:qFormat/>
  </w:style>
  <w:style w:type="numbering" w:customStyle="1" w:styleId="31241">
    <w:name w:val="Нет списка31241"/>
    <w:uiPriority w:val="99"/>
    <w:semiHidden/>
    <w:unhideWhenUsed/>
    <w:qFormat/>
  </w:style>
  <w:style w:type="numbering" w:customStyle="1" w:styleId="121241">
    <w:name w:val="Нет списка121241"/>
    <w:uiPriority w:val="99"/>
    <w:semiHidden/>
    <w:unhideWhenUsed/>
    <w:qFormat/>
  </w:style>
  <w:style w:type="numbering" w:customStyle="1" w:styleId="211241">
    <w:name w:val="Нет списка211241"/>
    <w:uiPriority w:val="99"/>
    <w:semiHidden/>
    <w:unhideWhenUsed/>
    <w:qFormat/>
  </w:style>
  <w:style w:type="numbering" w:customStyle="1" w:styleId="1111241">
    <w:name w:val="Нет списка1111241"/>
    <w:uiPriority w:val="99"/>
    <w:semiHidden/>
    <w:unhideWhenUsed/>
    <w:qFormat/>
  </w:style>
  <w:style w:type="numbering" w:customStyle="1" w:styleId="5141">
    <w:name w:val="Нет списка5141"/>
    <w:uiPriority w:val="99"/>
    <w:semiHidden/>
    <w:unhideWhenUsed/>
    <w:qFormat/>
  </w:style>
  <w:style w:type="numbering" w:customStyle="1" w:styleId="6141">
    <w:name w:val="Нет списка6141"/>
    <w:uiPriority w:val="99"/>
    <w:semiHidden/>
    <w:unhideWhenUsed/>
    <w:qFormat/>
  </w:style>
  <w:style w:type="numbering" w:customStyle="1" w:styleId="731">
    <w:name w:val="Нет списка731"/>
    <w:uiPriority w:val="99"/>
    <w:semiHidden/>
    <w:unhideWhenUsed/>
    <w:qFormat/>
  </w:style>
  <w:style w:type="numbering" w:customStyle="1" w:styleId="1631">
    <w:name w:val="Нет списка1631"/>
    <w:uiPriority w:val="99"/>
    <w:semiHidden/>
    <w:unhideWhenUsed/>
    <w:qFormat/>
  </w:style>
  <w:style w:type="numbering" w:customStyle="1" w:styleId="11531">
    <w:name w:val="Нет списка11531"/>
    <w:uiPriority w:val="99"/>
    <w:semiHidden/>
    <w:unhideWhenUsed/>
    <w:qFormat/>
  </w:style>
  <w:style w:type="numbering" w:customStyle="1" w:styleId="2531">
    <w:name w:val="Нет списка2531"/>
    <w:uiPriority w:val="99"/>
    <w:semiHidden/>
    <w:unhideWhenUsed/>
    <w:qFormat/>
  </w:style>
  <w:style w:type="numbering" w:customStyle="1" w:styleId="111431">
    <w:name w:val="Нет списка111431"/>
    <w:uiPriority w:val="99"/>
    <w:semiHidden/>
    <w:unhideWhenUsed/>
    <w:qFormat/>
  </w:style>
  <w:style w:type="numbering" w:customStyle="1" w:styleId="3431">
    <w:name w:val="Нет списка3431"/>
    <w:uiPriority w:val="99"/>
    <w:semiHidden/>
    <w:unhideWhenUsed/>
    <w:qFormat/>
  </w:style>
  <w:style w:type="numbering" w:customStyle="1" w:styleId="12431">
    <w:name w:val="Нет списка12431"/>
    <w:uiPriority w:val="99"/>
    <w:semiHidden/>
    <w:unhideWhenUsed/>
    <w:qFormat/>
  </w:style>
  <w:style w:type="numbering" w:customStyle="1" w:styleId="21431">
    <w:name w:val="Нет списка21431"/>
    <w:uiPriority w:val="99"/>
    <w:semiHidden/>
    <w:unhideWhenUsed/>
    <w:qFormat/>
  </w:style>
  <w:style w:type="numbering" w:customStyle="1" w:styleId="1111331">
    <w:name w:val="Нет списка1111331"/>
    <w:uiPriority w:val="99"/>
    <w:semiHidden/>
    <w:unhideWhenUsed/>
    <w:qFormat/>
  </w:style>
  <w:style w:type="numbering" w:customStyle="1" w:styleId="4331">
    <w:name w:val="Нет списка4331"/>
    <w:uiPriority w:val="99"/>
    <w:semiHidden/>
    <w:unhideWhenUsed/>
    <w:qFormat/>
  </w:style>
  <w:style w:type="numbering" w:customStyle="1" w:styleId="13331">
    <w:name w:val="Нет списка13331"/>
    <w:uiPriority w:val="99"/>
    <w:semiHidden/>
    <w:unhideWhenUsed/>
    <w:qFormat/>
  </w:style>
  <w:style w:type="numbering" w:customStyle="1" w:styleId="22331">
    <w:name w:val="Нет списка22331"/>
    <w:uiPriority w:val="99"/>
    <w:semiHidden/>
    <w:unhideWhenUsed/>
    <w:qFormat/>
  </w:style>
  <w:style w:type="numbering" w:customStyle="1" w:styleId="112331">
    <w:name w:val="Нет списка112331"/>
    <w:uiPriority w:val="99"/>
    <w:semiHidden/>
    <w:unhideWhenUsed/>
    <w:qFormat/>
  </w:style>
  <w:style w:type="numbering" w:customStyle="1" w:styleId="31331">
    <w:name w:val="Нет списка31331"/>
    <w:uiPriority w:val="99"/>
    <w:semiHidden/>
    <w:unhideWhenUsed/>
    <w:qFormat/>
  </w:style>
  <w:style w:type="numbering" w:customStyle="1" w:styleId="121331">
    <w:name w:val="Нет списка121331"/>
    <w:uiPriority w:val="99"/>
    <w:semiHidden/>
    <w:unhideWhenUsed/>
    <w:qFormat/>
  </w:style>
  <w:style w:type="numbering" w:customStyle="1" w:styleId="211331">
    <w:name w:val="Нет списка211331"/>
    <w:uiPriority w:val="99"/>
    <w:semiHidden/>
    <w:unhideWhenUsed/>
    <w:qFormat/>
  </w:style>
  <w:style w:type="numbering" w:customStyle="1" w:styleId="111111131">
    <w:name w:val="Нет списка111111131"/>
    <w:uiPriority w:val="99"/>
    <w:semiHidden/>
    <w:unhideWhenUsed/>
    <w:qFormat/>
  </w:style>
  <w:style w:type="numbering" w:customStyle="1" w:styleId="5231">
    <w:name w:val="Нет списка5231"/>
    <w:uiPriority w:val="99"/>
    <w:semiHidden/>
    <w:unhideWhenUsed/>
    <w:qFormat/>
  </w:style>
  <w:style w:type="numbering" w:customStyle="1" w:styleId="14131">
    <w:name w:val="Нет списка14131"/>
    <w:uiPriority w:val="99"/>
    <w:semiHidden/>
    <w:unhideWhenUsed/>
    <w:qFormat/>
  </w:style>
  <w:style w:type="numbering" w:customStyle="1" w:styleId="23131">
    <w:name w:val="Нет списка23131"/>
    <w:uiPriority w:val="99"/>
    <w:semiHidden/>
    <w:unhideWhenUsed/>
    <w:qFormat/>
  </w:style>
  <w:style w:type="numbering" w:customStyle="1" w:styleId="113131">
    <w:name w:val="Нет списка113131"/>
    <w:uiPriority w:val="99"/>
    <w:semiHidden/>
    <w:unhideWhenUsed/>
    <w:qFormat/>
  </w:style>
  <w:style w:type="numbering" w:customStyle="1" w:styleId="32131">
    <w:name w:val="Нет списка32131"/>
    <w:uiPriority w:val="99"/>
    <w:semiHidden/>
    <w:unhideWhenUsed/>
    <w:qFormat/>
  </w:style>
  <w:style w:type="numbering" w:customStyle="1" w:styleId="122131">
    <w:name w:val="Нет списка122131"/>
    <w:uiPriority w:val="99"/>
    <w:semiHidden/>
    <w:unhideWhenUsed/>
    <w:qFormat/>
  </w:style>
  <w:style w:type="numbering" w:customStyle="1" w:styleId="212131">
    <w:name w:val="Нет списка212131"/>
    <w:uiPriority w:val="99"/>
    <w:semiHidden/>
    <w:unhideWhenUsed/>
    <w:qFormat/>
  </w:style>
  <w:style w:type="numbering" w:customStyle="1" w:styleId="1112131">
    <w:name w:val="Нет списка1112131"/>
    <w:uiPriority w:val="99"/>
    <w:semiHidden/>
    <w:unhideWhenUsed/>
    <w:qFormat/>
  </w:style>
  <w:style w:type="numbering" w:customStyle="1" w:styleId="41131">
    <w:name w:val="Нет списка41131"/>
    <w:uiPriority w:val="99"/>
    <w:semiHidden/>
    <w:unhideWhenUsed/>
    <w:qFormat/>
  </w:style>
  <w:style w:type="numbering" w:customStyle="1" w:styleId="131131">
    <w:name w:val="Нет списка131131"/>
    <w:uiPriority w:val="99"/>
    <w:semiHidden/>
    <w:unhideWhenUsed/>
    <w:qFormat/>
  </w:style>
  <w:style w:type="numbering" w:customStyle="1" w:styleId="221131">
    <w:name w:val="Нет списка221131"/>
    <w:uiPriority w:val="99"/>
    <w:semiHidden/>
    <w:unhideWhenUsed/>
    <w:qFormat/>
  </w:style>
  <w:style w:type="numbering" w:customStyle="1" w:styleId="1121131">
    <w:name w:val="Нет списка1121131"/>
    <w:uiPriority w:val="99"/>
    <w:semiHidden/>
    <w:unhideWhenUsed/>
    <w:qFormat/>
  </w:style>
  <w:style w:type="numbering" w:customStyle="1" w:styleId="311131">
    <w:name w:val="Нет списка311131"/>
    <w:uiPriority w:val="99"/>
    <w:semiHidden/>
    <w:unhideWhenUsed/>
    <w:qFormat/>
  </w:style>
  <w:style w:type="numbering" w:customStyle="1" w:styleId="1211131">
    <w:name w:val="Нет списка1211131"/>
    <w:uiPriority w:val="99"/>
    <w:semiHidden/>
    <w:unhideWhenUsed/>
    <w:qFormat/>
  </w:style>
  <w:style w:type="numbering" w:customStyle="1" w:styleId="2111131">
    <w:name w:val="Нет списка2111131"/>
    <w:uiPriority w:val="99"/>
    <w:semiHidden/>
    <w:unhideWhenUsed/>
    <w:qFormat/>
  </w:style>
  <w:style w:type="numbering" w:customStyle="1" w:styleId="1111111121">
    <w:name w:val="Нет списка1111111121"/>
    <w:uiPriority w:val="99"/>
    <w:semiHidden/>
    <w:unhideWhenUsed/>
    <w:qFormat/>
  </w:style>
  <w:style w:type="numbering" w:customStyle="1" w:styleId="6231">
    <w:name w:val="Нет списка6231"/>
    <w:uiPriority w:val="99"/>
    <w:semiHidden/>
    <w:unhideWhenUsed/>
    <w:qFormat/>
  </w:style>
  <w:style w:type="numbering" w:customStyle="1" w:styleId="15131">
    <w:name w:val="Нет списка15131"/>
    <w:uiPriority w:val="99"/>
    <w:semiHidden/>
    <w:unhideWhenUsed/>
    <w:qFormat/>
  </w:style>
  <w:style w:type="numbering" w:customStyle="1" w:styleId="24131">
    <w:name w:val="Нет списка24131"/>
    <w:uiPriority w:val="99"/>
    <w:semiHidden/>
    <w:unhideWhenUsed/>
    <w:qFormat/>
  </w:style>
  <w:style w:type="numbering" w:customStyle="1" w:styleId="114131">
    <w:name w:val="Нет списка114131"/>
    <w:uiPriority w:val="99"/>
    <w:semiHidden/>
    <w:unhideWhenUsed/>
    <w:qFormat/>
  </w:style>
  <w:style w:type="numbering" w:customStyle="1" w:styleId="33131">
    <w:name w:val="Нет списка33131"/>
    <w:uiPriority w:val="99"/>
    <w:semiHidden/>
    <w:unhideWhenUsed/>
    <w:qFormat/>
  </w:style>
  <w:style w:type="numbering" w:customStyle="1" w:styleId="123131">
    <w:name w:val="Нет списка123131"/>
    <w:uiPriority w:val="99"/>
    <w:semiHidden/>
    <w:unhideWhenUsed/>
    <w:qFormat/>
  </w:style>
  <w:style w:type="numbering" w:customStyle="1" w:styleId="213131">
    <w:name w:val="Нет списка213131"/>
    <w:uiPriority w:val="99"/>
    <w:semiHidden/>
    <w:unhideWhenUsed/>
    <w:qFormat/>
  </w:style>
  <w:style w:type="numbering" w:customStyle="1" w:styleId="1113131">
    <w:name w:val="Нет списка1113131"/>
    <w:uiPriority w:val="99"/>
    <w:semiHidden/>
    <w:unhideWhenUsed/>
    <w:qFormat/>
  </w:style>
  <w:style w:type="numbering" w:customStyle="1" w:styleId="42131">
    <w:name w:val="Нет списка42131"/>
    <w:uiPriority w:val="99"/>
    <w:semiHidden/>
    <w:unhideWhenUsed/>
    <w:qFormat/>
  </w:style>
  <w:style w:type="numbering" w:customStyle="1" w:styleId="132131">
    <w:name w:val="Нет списка132131"/>
    <w:uiPriority w:val="99"/>
    <w:semiHidden/>
    <w:unhideWhenUsed/>
    <w:qFormat/>
  </w:style>
  <w:style w:type="numbering" w:customStyle="1" w:styleId="222131">
    <w:name w:val="Нет списка222131"/>
    <w:uiPriority w:val="99"/>
    <w:semiHidden/>
    <w:unhideWhenUsed/>
    <w:qFormat/>
  </w:style>
  <w:style w:type="numbering" w:customStyle="1" w:styleId="1122131">
    <w:name w:val="Нет списка1122131"/>
    <w:uiPriority w:val="99"/>
    <w:semiHidden/>
    <w:unhideWhenUsed/>
    <w:qFormat/>
  </w:style>
  <w:style w:type="numbering" w:customStyle="1" w:styleId="312131">
    <w:name w:val="Нет списка312131"/>
    <w:uiPriority w:val="99"/>
    <w:semiHidden/>
    <w:unhideWhenUsed/>
    <w:qFormat/>
  </w:style>
  <w:style w:type="numbering" w:customStyle="1" w:styleId="1212131">
    <w:name w:val="Нет списка1212131"/>
    <w:uiPriority w:val="99"/>
    <w:semiHidden/>
    <w:unhideWhenUsed/>
    <w:qFormat/>
  </w:style>
  <w:style w:type="numbering" w:customStyle="1" w:styleId="2112131">
    <w:name w:val="Нет списка2112131"/>
    <w:uiPriority w:val="99"/>
    <w:semiHidden/>
    <w:unhideWhenUsed/>
    <w:qFormat/>
  </w:style>
  <w:style w:type="numbering" w:customStyle="1" w:styleId="11112131">
    <w:name w:val="Нет списка11112131"/>
    <w:uiPriority w:val="99"/>
    <w:semiHidden/>
    <w:unhideWhenUsed/>
    <w:qFormat/>
  </w:style>
  <w:style w:type="numbering" w:customStyle="1" w:styleId="51131">
    <w:name w:val="Нет списка51131"/>
    <w:uiPriority w:val="99"/>
    <w:semiHidden/>
    <w:unhideWhenUsed/>
    <w:qFormat/>
  </w:style>
  <w:style w:type="numbering" w:customStyle="1" w:styleId="61131">
    <w:name w:val="Нет списка61131"/>
    <w:uiPriority w:val="99"/>
    <w:semiHidden/>
    <w:unhideWhenUsed/>
    <w:qFormat/>
  </w:style>
  <w:style w:type="numbering" w:customStyle="1" w:styleId="831">
    <w:name w:val="Нет списка831"/>
    <w:uiPriority w:val="99"/>
    <w:semiHidden/>
    <w:unhideWhenUsed/>
    <w:qFormat/>
  </w:style>
  <w:style w:type="numbering" w:customStyle="1" w:styleId="931">
    <w:name w:val="Нет списка931"/>
    <w:semiHidden/>
    <w:qFormat/>
  </w:style>
  <w:style w:type="numbering" w:customStyle="1" w:styleId="1031">
    <w:name w:val="Нет списка1031"/>
    <w:semiHidden/>
    <w:qFormat/>
  </w:style>
  <w:style w:type="numbering" w:customStyle="1" w:styleId="390">
    <w:name w:val="Нет списка39"/>
    <w:uiPriority w:val="99"/>
    <w:semiHidden/>
    <w:unhideWhenUsed/>
    <w:qFormat/>
  </w:style>
  <w:style w:type="numbering" w:customStyle="1" w:styleId="129">
    <w:name w:val="Нет списка129"/>
    <w:uiPriority w:val="99"/>
    <w:semiHidden/>
    <w:unhideWhenUsed/>
    <w:qFormat/>
  </w:style>
  <w:style w:type="numbering" w:customStyle="1" w:styleId="219">
    <w:name w:val="Нет списка219"/>
    <w:uiPriority w:val="99"/>
    <w:semiHidden/>
    <w:unhideWhenUsed/>
    <w:qFormat/>
  </w:style>
  <w:style w:type="numbering" w:customStyle="1" w:styleId="11200">
    <w:name w:val="Нет списка1120"/>
    <w:uiPriority w:val="99"/>
    <w:semiHidden/>
    <w:unhideWhenUsed/>
    <w:qFormat/>
  </w:style>
  <w:style w:type="numbering" w:customStyle="1" w:styleId="3100">
    <w:name w:val="Нет списка310"/>
    <w:uiPriority w:val="99"/>
    <w:semiHidden/>
    <w:unhideWhenUsed/>
    <w:qFormat/>
  </w:style>
  <w:style w:type="numbering" w:customStyle="1" w:styleId="12100">
    <w:name w:val="Нет списка1210"/>
    <w:uiPriority w:val="99"/>
    <w:semiHidden/>
    <w:unhideWhenUsed/>
    <w:qFormat/>
  </w:style>
  <w:style w:type="numbering" w:customStyle="1" w:styleId="21100">
    <w:name w:val="Нет списка2110"/>
    <w:uiPriority w:val="99"/>
    <w:semiHidden/>
    <w:unhideWhenUsed/>
    <w:qFormat/>
  </w:style>
  <w:style w:type="numbering" w:customStyle="1" w:styleId="111100">
    <w:name w:val="Нет списка11110"/>
    <w:uiPriority w:val="99"/>
    <w:semiHidden/>
    <w:unhideWhenUsed/>
    <w:qFormat/>
  </w:style>
  <w:style w:type="numbering" w:customStyle="1" w:styleId="480">
    <w:name w:val="Нет списка48"/>
    <w:uiPriority w:val="99"/>
    <w:semiHidden/>
    <w:unhideWhenUsed/>
    <w:qFormat/>
  </w:style>
  <w:style w:type="numbering" w:customStyle="1" w:styleId="138">
    <w:name w:val="Нет списка138"/>
    <w:uiPriority w:val="99"/>
    <w:semiHidden/>
    <w:unhideWhenUsed/>
    <w:qFormat/>
  </w:style>
  <w:style w:type="numbering" w:customStyle="1" w:styleId="228">
    <w:name w:val="Нет списка228"/>
    <w:uiPriority w:val="99"/>
    <w:semiHidden/>
    <w:unhideWhenUsed/>
    <w:qFormat/>
  </w:style>
  <w:style w:type="numbering" w:customStyle="1" w:styleId="1128">
    <w:name w:val="Нет списка1128"/>
    <w:uiPriority w:val="99"/>
    <w:semiHidden/>
    <w:unhideWhenUsed/>
    <w:qFormat/>
  </w:style>
  <w:style w:type="numbering" w:customStyle="1" w:styleId="318">
    <w:name w:val="Нет списка318"/>
    <w:uiPriority w:val="99"/>
    <w:semiHidden/>
    <w:unhideWhenUsed/>
    <w:qFormat/>
  </w:style>
  <w:style w:type="numbering" w:customStyle="1" w:styleId="1218">
    <w:name w:val="Нет списка1218"/>
    <w:uiPriority w:val="99"/>
    <w:semiHidden/>
    <w:unhideWhenUsed/>
    <w:qFormat/>
  </w:style>
  <w:style w:type="numbering" w:customStyle="1" w:styleId="2118">
    <w:name w:val="Нет списка2118"/>
    <w:uiPriority w:val="99"/>
    <w:semiHidden/>
    <w:unhideWhenUsed/>
    <w:qFormat/>
  </w:style>
  <w:style w:type="numbering" w:customStyle="1" w:styleId="11118">
    <w:name w:val="Нет списка11118"/>
    <w:uiPriority w:val="99"/>
    <w:semiHidden/>
    <w:unhideWhenUsed/>
    <w:qFormat/>
  </w:style>
  <w:style w:type="numbering" w:customStyle="1" w:styleId="570">
    <w:name w:val="Нет списка57"/>
    <w:uiPriority w:val="99"/>
    <w:semiHidden/>
    <w:unhideWhenUsed/>
    <w:qFormat/>
  </w:style>
  <w:style w:type="numbering" w:customStyle="1" w:styleId="146">
    <w:name w:val="Нет списка146"/>
    <w:uiPriority w:val="99"/>
    <w:semiHidden/>
    <w:unhideWhenUsed/>
    <w:qFormat/>
  </w:style>
  <w:style w:type="numbering" w:customStyle="1" w:styleId="236">
    <w:name w:val="Нет списка236"/>
    <w:uiPriority w:val="99"/>
    <w:semiHidden/>
    <w:unhideWhenUsed/>
    <w:qFormat/>
  </w:style>
  <w:style w:type="numbering" w:customStyle="1" w:styleId="1136">
    <w:name w:val="Нет списка1136"/>
    <w:uiPriority w:val="99"/>
    <w:semiHidden/>
    <w:unhideWhenUsed/>
    <w:qFormat/>
  </w:style>
  <w:style w:type="numbering" w:customStyle="1" w:styleId="326">
    <w:name w:val="Нет списка326"/>
    <w:uiPriority w:val="99"/>
    <w:semiHidden/>
    <w:unhideWhenUsed/>
    <w:qFormat/>
  </w:style>
  <w:style w:type="numbering" w:customStyle="1" w:styleId="1226">
    <w:name w:val="Нет списка1226"/>
    <w:uiPriority w:val="99"/>
    <w:semiHidden/>
    <w:unhideWhenUsed/>
    <w:qFormat/>
  </w:style>
  <w:style w:type="numbering" w:customStyle="1" w:styleId="2126">
    <w:name w:val="Нет списка2126"/>
    <w:uiPriority w:val="99"/>
    <w:semiHidden/>
    <w:unhideWhenUsed/>
    <w:qFormat/>
  </w:style>
  <w:style w:type="numbering" w:customStyle="1" w:styleId="11126">
    <w:name w:val="Нет списка11126"/>
    <w:uiPriority w:val="99"/>
    <w:semiHidden/>
    <w:unhideWhenUsed/>
    <w:qFormat/>
  </w:style>
  <w:style w:type="numbering" w:customStyle="1" w:styleId="416">
    <w:name w:val="Нет списка416"/>
    <w:uiPriority w:val="99"/>
    <w:semiHidden/>
    <w:unhideWhenUsed/>
    <w:qFormat/>
  </w:style>
  <w:style w:type="numbering" w:customStyle="1" w:styleId="1316">
    <w:name w:val="Нет списка1316"/>
    <w:uiPriority w:val="99"/>
    <w:semiHidden/>
    <w:unhideWhenUsed/>
    <w:qFormat/>
  </w:style>
  <w:style w:type="numbering" w:customStyle="1" w:styleId="2216">
    <w:name w:val="Нет списка2216"/>
    <w:uiPriority w:val="99"/>
    <w:semiHidden/>
    <w:unhideWhenUsed/>
    <w:qFormat/>
  </w:style>
  <w:style w:type="numbering" w:customStyle="1" w:styleId="11216">
    <w:name w:val="Нет списка11216"/>
    <w:uiPriority w:val="99"/>
    <w:semiHidden/>
    <w:unhideWhenUsed/>
    <w:qFormat/>
  </w:style>
  <w:style w:type="numbering" w:customStyle="1" w:styleId="3116">
    <w:name w:val="Нет списка3116"/>
    <w:uiPriority w:val="99"/>
    <w:semiHidden/>
    <w:unhideWhenUsed/>
    <w:qFormat/>
  </w:style>
  <w:style w:type="numbering" w:customStyle="1" w:styleId="12116">
    <w:name w:val="Нет списка12116"/>
    <w:uiPriority w:val="99"/>
    <w:semiHidden/>
    <w:unhideWhenUsed/>
    <w:qFormat/>
  </w:style>
  <w:style w:type="numbering" w:customStyle="1" w:styleId="21116">
    <w:name w:val="Нет списка21116"/>
    <w:uiPriority w:val="99"/>
    <w:semiHidden/>
    <w:unhideWhenUsed/>
    <w:qFormat/>
  </w:style>
  <w:style w:type="numbering" w:customStyle="1" w:styleId="111116">
    <w:name w:val="Нет списка111116"/>
    <w:uiPriority w:val="99"/>
    <w:semiHidden/>
    <w:unhideWhenUsed/>
    <w:qFormat/>
  </w:style>
  <w:style w:type="numbering" w:customStyle="1" w:styleId="67">
    <w:name w:val="Нет списка67"/>
    <w:uiPriority w:val="99"/>
    <w:semiHidden/>
    <w:unhideWhenUsed/>
    <w:qFormat/>
  </w:style>
  <w:style w:type="numbering" w:customStyle="1" w:styleId="156">
    <w:name w:val="Нет списка156"/>
    <w:uiPriority w:val="99"/>
    <w:semiHidden/>
    <w:unhideWhenUsed/>
    <w:qFormat/>
  </w:style>
  <w:style w:type="numbering" w:customStyle="1" w:styleId="246">
    <w:name w:val="Нет списка246"/>
    <w:uiPriority w:val="99"/>
    <w:semiHidden/>
    <w:unhideWhenUsed/>
    <w:qFormat/>
  </w:style>
  <w:style w:type="numbering" w:customStyle="1" w:styleId="1146">
    <w:name w:val="Нет списка1146"/>
    <w:uiPriority w:val="99"/>
    <w:semiHidden/>
    <w:unhideWhenUsed/>
    <w:qFormat/>
  </w:style>
  <w:style w:type="numbering" w:customStyle="1" w:styleId="336">
    <w:name w:val="Нет списка336"/>
    <w:uiPriority w:val="99"/>
    <w:semiHidden/>
    <w:unhideWhenUsed/>
    <w:qFormat/>
  </w:style>
  <w:style w:type="numbering" w:customStyle="1" w:styleId="1236">
    <w:name w:val="Нет списка1236"/>
    <w:uiPriority w:val="99"/>
    <w:semiHidden/>
    <w:unhideWhenUsed/>
    <w:qFormat/>
  </w:style>
  <w:style w:type="numbering" w:customStyle="1" w:styleId="2136">
    <w:name w:val="Нет списка2136"/>
    <w:uiPriority w:val="99"/>
    <w:semiHidden/>
    <w:unhideWhenUsed/>
    <w:qFormat/>
  </w:style>
  <w:style w:type="numbering" w:customStyle="1" w:styleId="11136">
    <w:name w:val="Нет списка11136"/>
    <w:uiPriority w:val="99"/>
    <w:semiHidden/>
    <w:unhideWhenUsed/>
    <w:qFormat/>
  </w:style>
  <w:style w:type="numbering" w:customStyle="1" w:styleId="426">
    <w:name w:val="Нет списка426"/>
    <w:uiPriority w:val="99"/>
    <w:semiHidden/>
    <w:unhideWhenUsed/>
    <w:qFormat/>
  </w:style>
  <w:style w:type="numbering" w:customStyle="1" w:styleId="1326">
    <w:name w:val="Нет списка1326"/>
    <w:uiPriority w:val="99"/>
    <w:semiHidden/>
    <w:unhideWhenUsed/>
    <w:qFormat/>
  </w:style>
  <w:style w:type="numbering" w:customStyle="1" w:styleId="2226">
    <w:name w:val="Нет списка2226"/>
    <w:uiPriority w:val="99"/>
    <w:semiHidden/>
    <w:unhideWhenUsed/>
    <w:qFormat/>
  </w:style>
  <w:style w:type="numbering" w:customStyle="1" w:styleId="11226">
    <w:name w:val="Нет списка11226"/>
    <w:uiPriority w:val="99"/>
    <w:semiHidden/>
    <w:unhideWhenUsed/>
    <w:qFormat/>
  </w:style>
  <w:style w:type="numbering" w:customStyle="1" w:styleId="3126">
    <w:name w:val="Нет списка3126"/>
    <w:uiPriority w:val="99"/>
    <w:semiHidden/>
    <w:unhideWhenUsed/>
    <w:qFormat/>
  </w:style>
  <w:style w:type="numbering" w:customStyle="1" w:styleId="12126">
    <w:name w:val="Нет списка12126"/>
    <w:uiPriority w:val="99"/>
    <w:semiHidden/>
    <w:unhideWhenUsed/>
    <w:qFormat/>
  </w:style>
  <w:style w:type="numbering" w:customStyle="1" w:styleId="21126">
    <w:name w:val="Нет списка21126"/>
    <w:uiPriority w:val="99"/>
    <w:semiHidden/>
    <w:unhideWhenUsed/>
    <w:qFormat/>
  </w:style>
  <w:style w:type="numbering" w:customStyle="1" w:styleId="111126">
    <w:name w:val="Нет списка111126"/>
    <w:uiPriority w:val="99"/>
    <w:semiHidden/>
    <w:unhideWhenUsed/>
    <w:qFormat/>
  </w:style>
  <w:style w:type="numbering" w:customStyle="1" w:styleId="516">
    <w:name w:val="Нет списка516"/>
    <w:uiPriority w:val="99"/>
    <w:semiHidden/>
    <w:unhideWhenUsed/>
    <w:qFormat/>
  </w:style>
  <w:style w:type="numbering" w:customStyle="1" w:styleId="616">
    <w:name w:val="Нет списка616"/>
    <w:uiPriority w:val="99"/>
    <w:semiHidden/>
    <w:unhideWhenUsed/>
    <w:qFormat/>
  </w:style>
  <w:style w:type="numbering" w:customStyle="1" w:styleId="750">
    <w:name w:val="Нет списка75"/>
    <w:uiPriority w:val="99"/>
    <w:semiHidden/>
    <w:unhideWhenUsed/>
    <w:qFormat/>
  </w:style>
  <w:style w:type="numbering" w:customStyle="1" w:styleId="165">
    <w:name w:val="Нет списка165"/>
    <w:uiPriority w:val="99"/>
    <w:semiHidden/>
    <w:unhideWhenUsed/>
    <w:qFormat/>
  </w:style>
  <w:style w:type="numbering" w:customStyle="1" w:styleId="1155">
    <w:name w:val="Нет списка1155"/>
    <w:uiPriority w:val="99"/>
    <w:semiHidden/>
    <w:unhideWhenUsed/>
    <w:qFormat/>
  </w:style>
  <w:style w:type="numbering" w:customStyle="1" w:styleId="255">
    <w:name w:val="Нет списка255"/>
    <w:uiPriority w:val="99"/>
    <w:semiHidden/>
    <w:unhideWhenUsed/>
    <w:qFormat/>
  </w:style>
  <w:style w:type="numbering" w:customStyle="1" w:styleId="11145">
    <w:name w:val="Нет списка11145"/>
    <w:uiPriority w:val="99"/>
    <w:semiHidden/>
    <w:unhideWhenUsed/>
    <w:qFormat/>
  </w:style>
  <w:style w:type="numbering" w:customStyle="1" w:styleId="345">
    <w:name w:val="Нет списка345"/>
    <w:uiPriority w:val="99"/>
    <w:semiHidden/>
    <w:unhideWhenUsed/>
    <w:qFormat/>
  </w:style>
  <w:style w:type="numbering" w:customStyle="1" w:styleId="1245">
    <w:name w:val="Нет списка1245"/>
    <w:uiPriority w:val="99"/>
    <w:semiHidden/>
    <w:unhideWhenUsed/>
    <w:qFormat/>
  </w:style>
  <w:style w:type="numbering" w:customStyle="1" w:styleId="2145">
    <w:name w:val="Нет списка2145"/>
    <w:uiPriority w:val="99"/>
    <w:semiHidden/>
    <w:unhideWhenUsed/>
    <w:qFormat/>
  </w:style>
  <w:style w:type="numbering" w:customStyle="1" w:styleId="111135">
    <w:name w:val="Нет списка111135"/>
    <w:uiPriority w:val="99"/>
    <w:semiHidden/>
    <w:unhideWhenUsed/>
    <w:qFormat/>
  </w:style>
  <w:style w:type="numbering" w:customStyle="1" w:styleId="435">
    <w:name w:val="Нет списка435"/>
    <w:uiPriority w:val="99"/>
    <w:semiHidden/>
    <w:unhideWhenUsed/>
    <w:qFormat/>
  </w:style>
  <w:style w:type="numbering" w:customStyle="1" w:styleId="1335">
    <w:name w:val="Нет списка1335"/>
    <w:uiPriority w:val="99"/>
    <w:semiHidden/>
    <w:unhideWhenUsed/>
    <w:qFormat/>
  </w:style>
  <w:style w:type="numbering" w:customStyle="1" w:styleId="2235">
    <w:name w:val="Нет списка2235"/>
    <w:uiPriority w:val="99"/>
    <w:semiHidden/>
    <w:unhideWhenUsed/>
    <w:qFormat/>
  </w:style>
  <w:style w:type="numbering" w:customStyle="1" w:styleId="11235">
    <w:name w:val="Нет списка11235"/>
    <w:uiPriority w:val="99"/>
    <w:semiHidden/>
    <w:unhideWhenUsed/>
    <w:qFormat/>
  </w:style>
  <w:style w:type="numbering" w:customStyle="1" w:styleId="3135">
    <w:name w:val="Нет списка3135"/>
    <w:uiPriority w:val="99"/>
    <w:semiHidden/>
    <w:unhideWhenUsed/>
    <w:qFormat/>
  </w:style>
  <w:style w:type="numbering" w:customStyle="1" w:styleId="12135">
    <w:name w:val="Нет списка12135"/>
    <w:uiPriority w:val="99"/>
    <w:semiHidden/>
    <w:unhideWhenUsed/>
    <w:qFormat/>
  </w:style>
  <w:style w:type="numbering" w:customStyle="1" w:styleId="21135">
    <w:name w:val="Нет списка21135"/>
    <w:uiPriority w:val="99"/>
    <w:semiHidden/>
    <w:unhideWhenUsed/>
    <w:qFormat/>
  </w:style>
  <w:style w:type="numbering" w:customStyle="1" w:styleId="1111116">
    <w:name w:val="Нет списка1111116"/>
    <w:uiPriority w:val="99"/>
    <w:semiHidden/>
    <w:unhideWhenUsed/>
    <w:qFormat/>
  </w:style>
  <w:style w:type="numbering" w:customStyle="1" w:styleId="525">
    <w:name w:val="Нет списка525"/>
    <w:uiPriority w:val="99"/>
    <w:semiHidden/>
    <w:unhideWhenUsed/>
    <w:qFormat/>
  </w:style>
  <w:style w:type="numbering" w:customStyle="1" w:styleId="1415">
    <w:name w:val="Нет списка1415"/>
    <w:uiPriority w:val="99"/>
    <w:semiHidden/>
    <w:unhideWhenUsed/>
    <w:qFormat/>
  </w:style>
  <w:style w:type="numbering" w:customStyle="1" w:styleId="2315">
    <w:name w:val="Нет списка2315"/>
    <w:uiPriority w:val="99"/>
    <w:semiHidden/>
    <w:unhideWhenUsed/>
    <w:qFormat/>
  </w:style>
  <w:style w:type="numbering" w:customStyle="1" w:styleId="11315">
    <w:name w:val="Нет списка11315"/>
    <w:uiPriority w:val="99"/>
    <w:semiHidden/>
    <w:unhideWhenUsed/>
    <w:qFormat/>
  </w:style>
  <w:style w:type="numbering" w:customStyle="1" w:styleId="3215">
    <w:name w:val="Нет списка3215"/>
    <w:uiPriority w:val="99"/>
    <w:semiHidden/>
    <w:unhideWhenUsed/>
    <w:qFormat/>
  </w:style>
  <w:style w:type="numbering" w:customStyle="1" w:styleId="12215">
    <w:name w:val="Нет списка12215"/>
    <w:uiPriority w:val="99"/>
    <w:semiHidden/>
    <w:unhideWhenUsed/>
    <w:qFormat/>
  </w:style>
  <w:style w:type="numbering" w:customStyle="1" w:styleId="21215">
    <w:name w:val="Нет списка21215"/>
    <w:uiPriority w:val="99"/>
    <w:semiHidden/>
    <w:unhideWhenUsed/>
    <w:qFormat/>
  </w:style>
  <w:style w:type="numbering" w:customStyle="1" w:styleId="111215">
    <w:name w:val="Нет списка111215"/>
    <w:uiPriority w:val="99"/>
    <w:semiHidden/>
    <w:unhideWhenUsed/>
    <w:qFormat/>
  </w:style>
  <w:style w:type="numbering" w:customStyle="1" w:styleId="4115">
    <w:name w:val="Нет списка4115"/>
    <w:uiPriority w:val="99"/>
    <w:semiHidden/>
    <w:unhideWhenUsed/>
    <w:qFormat/>
  </w:style>
  <w:style w:type="numbering" w:customStyle="1" w:styleId="13115">
    <w:name w:val="Нет списка13115"/>
    <w:uiPriority w:val="99"/>
    <w:semiHidden/>
    <w:unhideWhenUsed/>
    <w:qFormat/>
  </w:style>
  <w:style w:type="numbering" w:customStyle="1" w:styleId="22115">
    <w:name w:val="Нет списка22115"/>
    <w:uiPriority w:val="99"/>
    <w:semiHidden/>
    <w:unhideWhenUsed/>
    <w:qFormat/>
  </w:style>
  <w:style w:type="numbering" w:customStyle="1" w:styleId="112115">
    <w:name w:val="Нет списка112115"/>
    <w:uiPriority w:val="99"/>
    <w:semiHidden/>
    <w:unhideWhenUsed/>
    <w:qFormat/>
  </w:style>
  <w:style w:type="numbering" w:customStyle="1" w:styleId="31115">
    <w:name w:val="Нет списка31115"/>
    <w:uiPriority w:val="99"/>
    <w:semiHidden/>
    <w:unhideWhenUsed/>
    <w:qFormat/>
  </w:style>
  <w:style w:type="numbering" w:customStyle="1" w:styleId="121115">
    <w:name w:val="Нет списка121115"/>
    <w:uiPriority w:val="99"/>
    <w:semiHidden/>
    <w:unhideWhenUsed/>
    <w:qFormat/>
  </w:style>
  <w:style w:type="numbering" w:customStyle="1" w:styleId="211115">
    <w:name w:val="Нет списка211115"/>
    <w:uiPriority w:val="99"/>
    <w:semiHidden/>
    <w:unhideWhenUsed/>
    <w:qFormat/>
  </w:style>
  <w:style w:type="numbering" w:customStyle="1" w:styleId="11111115">
    <w:name w:val="Нет списка11111115"/>
    <w:uiPriority w:val="99"/>
    <w:semiHidden/>
    <w:unhideWhenUsed/>
    <w:qFormat/>
  </w:style>
  <w:style w:type="numbering" w:customStyle="1" w:styleId="625">
    <w:name w:val="Нет списка625"/>
    <w:uiPriority w:val="99"/>
    <w:semiHidden/>
    <w:unhideWhenUsed/>
    <w:qFormat/>
  </w:style>
  <w:style w:type="numbering" w:customStyle="1" w:styleId="1515">
    <w:name w:val="Нет списка1515"/>
    <w:uiPriority w:val="99"/>
    <w:semiHidden/>
    <w:unhideWhenUsed/>
    <w:qFormat/>
  </w:style>
  <w:style w:type="numbering" w:customStyle="1" w:styleId="2415">
    <w:name w:val="Нет списка2415"/>
    <w:uiPriority w:val="99"/>
    <w:semiHidden/>
    <w:unhideWhenUsed/>
    <w:qFormat/>
  </w:style>
  <w:style w:type="numbering" w:customStyle="1" w:styleId="11415">
    <w:name w:val="Нет списка11415"/>
    <w:uiPriority w:val="99"/>
    <w:semiHidden/>
    <w:unhideWhenUsed/>
    <w:qFormat/>
  </w:style>
  <w:style w:type="numbering" w:customStyle="1" w:styleId="3315">
    <w:name w:val="Нет списка3315"/>
    <w:uiPriority w:val="99"/>
    <w:semiHidden/>
    <w:unhideWhenUsed/>
    <w:qFormat/>
  </w:style>
  <w:style w:type="numbering" w:customStyle="1" w:styleId="12315">
    <w:name w:val="Нет списка12315"/>
    <w:uiPriority w:val="99"/>
    <w:semiHidden/>
    <w:unhideWhenUsed/>
    <w:qFormat/>
  </w:style>
  <w:style w:type="numbering" w:customStyle="1" w:styleId="21315">
    <w:name w:val="Нет списка21315"/>
    <w:uiPriority w:val="99"/>
    <w:semiHidden/>
    <w:unhideWhenUsed/>
    <w:qFormat/>
  </w:style>
  <w:style w:type="numbering" w:customStyle="1" w:styleId="111315">
    <w:name w:val="Нет списка111315"/>
    <w:uiPriority w:val="99"/>
    <w:semiHidden/>
    <w:unhideWhenUsed/>
    <w:qFormat/>
  </w:style>
  <w:style w:type="numbering" w:customStyle="1" w:styleId="4215">
    <w:name w:val="Нет списка4215"/>
    <w:uiPriority w:val="99"/>
    <w:semiHidden/>
    <w:unhideWhenUsed/>
    <w:qFormat/>
  </w:style>
  <w:style w:type="numbering" w:customStyle="1" w:styleId="13215">
    <w:name w:val="Нет списка13215"/>
    <w:uiPriority w:val="99"/>
    <w:semiHidden/>
    <w:unhideWhenUsed/>
    <w:qFormat/>
  </w:style>
  <w:style w:type="numbering" w:customStyle="1" w:styleId="22215">
    <w:name w:val="Нет списка22215"/>
    <w:uiPriority w:val="99"/>
    <w:semiHidden/>
    <w:unhideWhenUsed/>
    <w:qFormat/>
  </w:style>
  <w:style w:type="numbering" w:customStyle="1" w:styleId="112215">
    <w:name w:val="Нет списка112215"/>
    <w:uiPriority w:val="99"/>
    <w:semiHidden/>
    <w:unhideWhenUsed/>
    <w:qFormat/>
  </w:style>
  <w:style w:type="numbering" w:customStyle="1" w:styleId="31215">
    <w:name w:val="Нет списка31215"/>
    <w:uiPriority w:val="99"/>
    <w:semiHidden/>
    <w:unhideWhenUsed/>
    <w:qFormat/>
  </w:style>
  <w:style w:type="numbering" w:customStyle="1" w:styleId="121215">
    <w:name w:val="Нет списка121215"/>
    <w:uiPriority w:val="99"/>
    <w:semiHidden/>
    <w:unhideWhenUsed/>
    <w:qFormat/>
  </w:style>
  <w:style w:type="numbering" w:customStyle="1" w:styleId="211215">
    <w:name w:val="Нет списка211215"/>
    <w:uiPriority w:val="99"/>
    <w:semiHidden/>
    <w:unhideWhenUsed/>
    <w:qFormat/>
  </w:style>
  <w:style w:type="numbering" w:customStyle="1" w:styleId="1111215">
    <w:name w:val="Нет списка1111215"/>
    <w:uiPriority w:val="99"/>
    <w:semiHidden/>
    <w:unhideWhenUsed/>
    <w:qFormat/>
  </w:style>
  <w:style w:type="numbering" w:customStyle="1" w:styleId="5115">
    <w:name w:val="Нет списка5115"/>
    <w:uiPriority w:val="99"/>
    <w:semiHidden/>
    <w:unhideWhenUsed/>
    <w:qFormat/>
  </w:style>
  <w:style w:type="numbering" w:customStyle="1" w:styleId="6115">
    <w:name w:val="Нет списка6115"/>
    <w:uiPriority w:val="99"/>
    <w:semiHidden/>
    <w:unhideWhenUsed/>
    <w:qFormat/>
  </w:style>
  <w:style w:type="numbering" w:customStyle="1" w:styleId="85">
    <w:name w:val="Нет списка85"/>
    <w:uiPriority w:val="99"/>
    <w:semiHidden/>
    <w:unhideWhenUsed/>
    <w:qFormat/>
  </w:style>
  <w:style w:type="numbering" w:customStyle="1" w:styleId="95">
    <w:name w:val="Нет списка95"/>
    <w:semiHidden/>
    <w:qFormat/>
  </w:style>
  <w:style w:type="numbering" w:customStyle="1" w:styleId="105">
    <w:name w:val="Нет списка105"/>
    <w:semiHidden/>
    <w:qFormat/>
  </w:style>
  <w:style w:type="numbering" w:customStyle="1" w:styleId="172">
    <w:name w:val="Нет списка172"/>
    <w:semiHidden/>
    <w:qFormat/>
  </w:style>
  <w:style w:type="numbering" w:customStyle="1" w:styleId="182">
    <w:name w:val="Нет списка182"/>
    <w:uiPriority w:val="99"/>
    <w:semiHidden/>
    <w:unhideWhenUsed/>
    <w:qFormat/>
  </w:style>
  <w:style w:type="numbering" w:customStyle="1" w:styleId="192">
    <w:name w:val="Нет списка192"/>
    <w:uiPriority w:val="99"/>
    <w:semiHidden/>
    <w:unhideWhenUsed/>
    <w:qFormat/>
  </w:style>
  <w:style w:type="numbering" w:customStyle="1" w:styleId="1102">
    <w:name w:val="Нет списка1102"/>
    <w:uiPriority w:val="99"/>
    <w:semiHidden/>
    <w:unhideWhenUsed/>
    <w:qFormat/>
  </w:style>
  <w:style w:type="numbering" w:customStyle="1" w:styleId="262">
    <w:name w:val="Нет списка262"/>
    <w:uiPriority w:val="99"/>
    <w:semiHidden/>
    <w:unhideWhenUsed/>
    <w:qFormat/>
  </w:style>
  <w:style w:type="numbering" w:customStyle="1" w:styleId="1162">
    <w:name w:val="Нет списка1162"/>
    <w:uiPriority w:val="99"/>
    <w:semiHidden/>
    <w:unhideWhenUsed/>
    <w:qFormat/>
  </w:style>
  <w:style w:type="numbering" w:customStyle="1" w:styleId="352">
    <w:name w:val="Нет списка352"/>
    <w:uiPriority w:val="99"/>
    <w:semiHidden/>
    <w:unhideWhenUsed/>
    <w:qFormat/>
  </w:style>
  <w:style w:type="numbering" w:customStyle="1" w:styleId="1252">
    <w:name w:val="Нет списка1252"/>
    <w:uiPriority w:val="99"/>
    <w:semiHidden/>
    <w:unhideWhenUsed/>
    <w:qFormat/>
  </w:style>
  <w:style w:type="numbering" w:customStyle="1" w:styleId="2152">
    <w:name w:val="Нет списка2152"/>
    <w:uiPriority w:val="99"/>
    <w:semiHidden/>
    <w:unhideWhenUsed/>
    <w:qFormat/>
  </w:style>
  <w:style w:type="numbering" w:customStyle="1" w:styleId="11152">
    <w:name w:val="Нет списка11152"/>
    <w:uiPriority w:val="99"/>
    <w:semiHidden/>
    <w:unhideWhenUsed/>
    <w:qFormat/>
  </w:style>
  <w:style w:type="numbering" w:customStyle="1" w:styleId="442">
    <w:name w:val="Нет списка442"/>
    <w:uiPriority w:val="99"/>
    <w:semiHidden/>
    <w:unhideWhenUsed/>
    <w:qFormat/>
  </w:style>
  <w:style w:type="numbering" w:customStyle="1" w:styleId="1342">
    <w:name w:val="Нет списка1342"/>
    <w:uiPriority w:val="99"/>
    <w:semiHidden/>
    <w:unhideWhenUsed/>
    <w:qFormat/>
  </w:style>
  <w:style w:type="numbering" w:customStyle="1" w:styleId="2242">
    <w:name w:val="Нет списка2242"/>
    <w:uiPriority w:val="99"/>
    <w:semiHidden/>
    <w:unhideWhenUsed/>
    <w:qFormat/>
  </w:style>
  <w:style w:type="numbering" w:customStyle="1" w:styleId="11242">
    <w:name w:val="Нет списка11242"/>
    <w:uiPriority w:val="99"/>
    <w:semiHidden/>
    <w:unhideWhenUsed/>
    <w:qFormat/>
  </w:style>
  <w:style w:type="numbering" w:customStyle="1" w:styleId="3142">
    <w:name w:val="Нет списка3142"/>
    <w:uiPriority w:val="99"/>
    <w:semiHidden/>
    <w:unhideWhenUsed/>
    <w:qFormat/>
  </w:style>
  <w:style w:type="numbering" w:customStyle="1" w:styleId="12142">
    <w:name w:val="Нет списка12142"/>
    <w:uiPriority w:val="99"/>
    <w:semiHidden/>
    <w:unhideWhenUsed/>
    <w:qFormat/>
  </w:style>
  <w:style w:type="numbering" w:customStyle="1" w:styleId="21142">
    <w:name w:val="Нет списка21142"/>
    <w:uiPriority w:val="99"/>
    <w:semiHidden/>
    <w:unhideWhenUsed/>
    <w:qFormat/>
  </w:style>
  <w:style w:type="numbering" w:customStyle="1" w:styleId="111142">
    <w:name w:val="Нет списка111142"/>
    <w:uiPriority w:val="99"/>
    <w:semiHidden/>
    <w:unhideWhenUsed/>
    <w:qFormat/>
  </w:style>
  <w:style w:type="numbering" w:customStyle="1" w:styleId="532">
    <w:name w:val="Нет списка532"/>
    <w:uiPriority w:val="99"/>
    <w:semiHidden/>
    <w:unhideWhenUsed/>
    <w:qFormat/>
  </w:style>
  <w:style w:type="numbering" w:customStyle="1" w:styleId="1422">
    <w:name w:val="Нет списка1422"/>
    <w:uiPriority w:val="99"/>
    <w:semiHidden/>
    <w:unhideWhenUsed/>
    <w:qFormat/>
  </w:style>
  <w:style w:type="numbering" w:customStyle="1" w:styleId="2322">
    <w:name w:val="Нет списка2322"/>
    <w:uiPriority w:val="99"/>
    <w:semiHidden/>
    <w:unhideWhenUsed/>
    <w:qFormat/>
  </w:style>
  <w:style w:type="numbering" w:customStyle="1" w:styleId="11322">
    <w:name w:val="Нет списка11322"/>
    <w:uiPriority w:val="99"/>
    <w:semiHidden/>
    <w:unhideWhenUsed/>
    <w:qFormat/>
  </w:style>
  <w:style w:type="numbering" w:customStyle="1" w:styleId="3222">
    <w:name w:val="Нет списка3222"/>
    <w:uiPriority w:val="99"/>
    <w:semiHidden/>
    <w:unhideWhenUsed/>
    <w:qFormat/>
  </w:style>
  <w:style w:type="numbering" w:customStyle="1" w:styleId="12222">
    <w:name w:val="Нет списка12222"/>
    <w:uiPriority w:val="99"/>
    <w:semiHidden/>
    <w:unhideWhenUsed/>
    <w:qFormat/>
  </w:style>
  <w:style w:type="numbering" w:customStyle="1" w:styleId="21222">
    <w:name w:val="Нет списка21222"/>
    <w:uiPriority w:val="99"/>
    <w:semiHidden/>
    <w:unhideWhenUsed/>
    <w:qFormat/>
  </w:style>
  <w:style w:type="numbering" w:customStyle="1" w:styleId="111222">
    <w:name w:val="Нет списка111222"/>
    <w:uiPriority w:val="99"/>
    <w:semiHidden/>
    <w:unhideWhenUsed/>
    <w:qFormat/>
  </w:style>
  <w:style w:type="numbering" w:customStyle="1" w:styleId="4122">
    <w:name w:val="Нет списка4122"/>
    <w:uiPriority w:val="99"/>
    <w:semiHidden/>
    <w:unhideWhenUsed/>
    <w:qFormat/>
  </w:style>
  <w:style w:type="numbering" w:customStyle="1" w:styleId="13122">
    <w:name w:val="Нет списка13122"/>
    <w:uiPriority w:val="99"/>
    <w:semiHidden/>
    <w:unhideWhenUsed/>
    <w:qFormat/>
  </w:style>
  <w:style w:type="numbering" w:customStyle="1" w:styleId="22122">
    <w:name w:val="Нет списка22122"/>
    <w:uiPriority w:val="99"/>
    <w:semiHidden/>
    <w:unhideWhenUsed/>
    <w:qFormat/>
  </w:style>
  <w:style w:type="numbering" w:customStyle="1" w:styleId="112122">
    <w:name w:val="Нет списка112122"/>
    <w:uiPriority w:val="99"/>
    <w:semiHidden/>
    <w:unhideWhenUsed/>
    <w:qFormat/>
  </w:style>
  <w:style w:type="numbering" w:customStyle="1" w:styleId="31122">
    <w:name w:val="Нет списка31122"/>
    <w:uiPriority w:val="99"/>
    <w:semiHidden/>
    <w:unhideWhenUsed/>
    <w:qFormat/>
  </w:style>
  <w:style w:type="numbering" w:customStyle="1" w:styleId="121122">
    <w:name w:val="Нет списка121122"/>
    <w:uiPriority w:val="99"/>
    <w:semiHidden/>
    <w:unhideWhenUsed/>
    <w:qFormat/>
  </w:style>
  <w:style w:type="numbering" w:customStyle="1" w:styleId="211122">
    <w:name w:val="Нет списка211122"/>
    <w:uiPriority w:val="99"/>
    <w:semiHidden/>
    <w:unhideWhenUsed/>
    <w:qFormat/>
  </w:style>
  <w:style w:type="numbering" w:customStyle="1" w:styleId="1111122">
    <w:name w:val="Нет списка1111122"/>
    <w:uiPriority w:val="99"/>
    <w:semiHidden/>
    <w:unhideWhenUsed/>
    <w:qFormat/>
  </w:style>
  <w:style w:type="numbering" w:customStyle="1" w:styleId="632">
    <w:name w:val="Нет списка632"/>
    <w:uiPriority w:val="99"/>
    <w:semiHidden/>
    <w:unhideWhenUsed/>
    <w:qFormat/>
  </w:style>
  <w:style w:type="numbering" w:customStyle="1" w:styleId="1522">
    <w:name w:val="Нет списка1522"/>
    <w:uiPriority w:val="99"/>
    <w:semiHidden/>
    <w:unhideWhenUsed/>
    <w:qFormat/>
  </w:style>
  <w:style w:type="numbering" w:customStyle="1" w:styleId="2422">
    <w:name w:val="Нет списка2422"/>
    <w:uiPriority w:val="99"/>
    <w:semiHidden/>
    <w:unhideWhenUsed/>
    <w:qFormat/>
  </w:style>
  <w:style w:type="numbering" w:customStyle="1" w:styleId="11422">
    <w:name w:val="Нет списка11422"/>
    <w:uiPriority w:val="99"/>
    <w:semiHidden/>
    <w:unhideWhenUsed/>
    <w:qFormat/>
  </w:style>
  <w:style w:type="numbering" w:customStyle="1" w:styleId="3322">
    <w:name w:val="Нет списка3322"/>
    <w:uiPriority w:val="99"/>
    <w:semiHidden/>
    <w:unhideWhenUsed/>
    <w:qFormat/>
  </w:style>
  <w:style w:type="numbering" w:customStyle="1" w:styleId="12322">
    <w:name w:val="Нет списка12322"/>
    <w:uiPriority w:val="99"/>
    <w:semiHidden/>
    <w:unhideWhenUsed/>
    <w:qFormat/>
  </w:style>
  <w:style w:type="numbering" w:customStyle="1" w:styleId="21322">
    <w:name w:val="Нет списка21322"/>
    <w:uiPriority w:val="99"/>
    <w:semiHidden/>
    <w:unhideWhenUsed/>
    <w:qFormat/>
  </w:style>
  <w:style w:type="numbering" w:customStyle="1" w:styleId="111322">
    <w:name w:val="Нет списка111322"/>
    <w:uiPriority w:val="99"/>
    <w:semiHidden/>
    <w:unhideWhenUsed/>
    <w:qFormat/>
  </w:style>
  <w:style w:type="numbering" w:customStyle="1" w:styleId="4222">
    <w:name w:val="Нет списка4222"/>
    <w:uiPriority w:val="99"/>
    <w:semiHidden/>
    <w:unhideWhenUsed/>
    <w:qFormat/>
  </w:style>
  <w:style w:type="numbering" w:customStyle="1" w:styleId="13222">
    <w:name w:val="Нет списка13222"/>
    <w:uiPriority w:val="99"/>
    <w:semiHidden/>
    <w:unhideWhenUsed/>
    <w:qFormat/>
  </w:style>
  <w:style w:type="numbering" w:customStyle="1" w:styleId="22222">
    <w:name w:val="Нет списка22222"/>
    <w:uiPriority w:val="99"/>
    <w:semiHidden/>
    <w:unhideWhenUsed/>
    <w:qFormat/>
  </w:style>
  <w:style w:type="numbering" w:customStyle="1" w:styleId="112222">
    <w:name w:val="Нет списка112222"/>
    <w:uiPriority w:val="99"/>
    <w:semiHidden/>
    <w:unhideWhenUsed/>
    <w:qFormat/>
  </w:style>
  <w:style w:type="numbering" w:customStyle="1" w:styleId="31222">
    <w:name w:val="Нет списка31222"/>
    <w:uiPriority w:val="99"/>
    <w:semiHidden/>
    <w:unhideWhenUsed/>
    <w:qFormat/>
  </w:style>
  <w:style w:type="numbering" w:customStyle="1" w:styleId="121222">
    <w:name w:val="Нет списка121222"/>
    <w:uiPriority w:val="99"/>
    <w:semiHidden/>
    <w:unhideWhenUsed/>
    <w:qFormat/>
  </w:style>
  <w:style w:type="numbering" w:customStyle="1" w:styleId="211222">
    <w:name w:val="Нет списка211222"/>
    <w:uiPriority w:val="99"/>
    <w:semiHidden/>
    <w:unhideWhenUsed/>
    <w:qFormat/>
  </w:style>
  <w:style w:type="numbering" w:customStyle="1" w:styleId="1111222">
    <w:name w:val="Нет списка1111222"/>
    <w:uiPriority w:val="99"/>
    <w:semiHidden/>
    <w:unhideWhenUsed/>
    <w:qFormat/>
  </w:style>
  <w:style w:type="numbering" w:customStyle="1" w:styleId="5122">
    <w:name w:val="Нет списка5122"/>
    <w:uiPriority w:val="99"/>
    <w:semiHidden/>
    <w:unhideWhenUsed/>
    <w:qFormat/>
  </w:style>
  <w:style w:type="numbering" w:customStyle="1" w:styleId="6122">
    <w:name w:val="Нет списка6122"/>
    <w:uiPriority w:val="99"/>
    <w:semiHidden/>
    <w:unhideWhenUsed/>
    <w:qFormat/>
  </w:style>
  <w:style w:type="numbering" w:customStyle="1" w:styleId="7120">
    <w:name w:val="Нет списка712"/>
    <w:uiPriority w:val="99"/>
    <w:semiHidden/>
    <w:unhideWhenUsed/>
    <w:qFormat/>
  </w:style>
  <w:style w:type="numbering" w:customStyle="1" w:styleId="1612">
    <w:name w:val="Нет списка1612"/>
    <w:uiPriority w:val="99"/>
    <w:semiHidden/>
    <w:unhideWhenUsed/>
    <w:qFormat/>
  </w:style>
  <w:style w:type="numbering" w:customStyle="1" w:styleId="11512">
    <w:name w:val="Нет списка11512"/>
    <w:uiPriority w:val="99"/>
    <w:semiHidden/>
    <w:unhideWhenUsed/>
    <w:qFormat/>
  </w:style>
  <w:style w:type="numbering" w:customStyle="1" w:styleId="2512">
    <w:name w:val="Нет списка2512"/>
    <w:uiPriority w:val="99"/>
    <w:semiHidden/>
    <w:unhideWhenUsed/>
    <w:qFormat/>
  </w:style>
  <w:style w:type="numbering" w:customStyle="1" w:styleId="111412">
    <w:name w:val="Нет списка111412"/>
    <w:uiPriority w:val="99"/>
    <w:semiHidden/>
    <w:unhideWhenUsed/>
    <w:qFormat/>
  </w:style>
  <w:style w:type="numbering" w:customStyle="1" w:styleId="3412">
    <w:name w:val="Нет списка3412"/>
    <w:uiPriority w:val="99"/>
    <w:semiHidden/>
    <w:unhideWhenUsed/>
    <w:qFormat/>
  </w:style>
  <w:style w:type="numbering" w:customStyle="1" w:styleId="12412">
    <w:name w:val="Нет списка12412"/>
    <w:uiPriority w:val="99"/>
    <w:semiHidden/>
    <w:unhideWhenUsed/>
    <w:qFormat/>
  </w:style>
  <w:style w:type="numbering" w:customStyle="1" w:styleId="21412">
    <w:name w:val="Нет списка21412"/>
    <w:uiPriority w:val="99"/>
    <w:semiHidden/>
    <w:unhideWhenUsed/>
    <w:qFormat/>
  </w:style>
  <w:style w:type="numbering" w:customStyle="1" w:styleId="1111312">
    <w:name w:val="Нет списка1111312"/>
    <w:uiPriority w:val="99"/>
    <w:semiHidden/>
    <w:unhideWhenUsed/>
    <w:qFormat/>
  </w:style>
  <w:style w:type="numbering" w:customStyle="1" w:styleId="4312">
    <w:name w:val="Нет списка4312"/>
    <w:uiPriority w:val="99"/>
    <w:semiHidden/>
    <w:unhideWhenUsed/>
    <w:qFormat/>
  </w:style>
  <w:style w:type="numbering" w:customStyle="1" w:styleId="13312">
    <w:name w:val="Нет списка13312"/>
    <w:uiPriority w:val="99"/>
    <w:semiHidden/>
    <w:unhideWhenUsed/>
    <w:qFormat/>
  </w:style>
  <w:style w:type="numbering" w:customStyle="1" w:styleId="22312">
    <w:name w:val="Нет списка22312"/>
    <w:uiPriority w:val="99"/>
    <w:semiHidden/>
    <w:unhideWhenUsed/>
    <w:qFormat/>
  </w:style>
  <w:style w:type="numbering" w:customStyle="1" w:styleId="112312">
    <w:name w:val="Нет списка112312"/>
    <w:uiPriority w:val="99"/>
    <w:semiHidden/>
    <w:unhideWhenUsed/>
    <w:qFormat/>
  </w:style>
  <w:style w:type="numbering" w:customStyle="1" w:styleId="31312">
    <w:name w:val="Нет списка31312"/>
    <w:uiPriority w:val="99"/>
    <w:semiHidden/>
    <w:unhideWhenUsed/>
    <w:qFormat/>
  </w:style>
  <w:style w:type="numbering" w:customStyle="1" w:styleId="121312">
    <w:name w:val="Нет списка121312"/>
    <w:uiPriority w:val="99"/>
    <w:semiHidden/>
    <w:unhideWhenUsed/>
    <w:qFormat/>
  </w:style>
  <w:style w:type="numbering" w:customStyle="1" w:styleId="211312">
    <w:name w:val="Нет списка211312"/>
    <w:uiPriority w:val="99"/>
    <w:semiHidden/>
    <w:unhideWhenUsed/>
    <w:qFormat/>
  </w:style>
  <w:style w:type="numbering" w:customStyle="1" w:styleId="11111122">
    <w:name w:val="Нет списка11111122"/>
    <w:uiPriority w:val="99"/>
    <w:semiHidden/>
    <w:unhideWhenUsed/>
    <w:qFormat/>
  </w:style>
  <w:style w:type="numbering" w:customStyle="1" w:styleId="5212">
    <w:name w:val="Нет списка5212"/>
    <w:uiPriority w:val="99"/>
    <w:semiHidden/>
    <w:unhideWhenUsed/>
    <w:qFormat/>
  </w:style>
  <w:style w:type="numbering" w:customStyle="1" w:styleId="14112">
    <w:name w:val="Нет списка14112"/>
    <w:uiPriority w:val="99"/>
    <w:semiHidden/>
    <w:unhideWhenUsed/>
    <w:qFormat/>
  </w:style>
  <w:style w:type="numbering" w:customStyle="1" w:styleId="23112">
    <w:name w:val="Нет списка23112"/>
    <w:uiPriority w:val="99"/>
    <w:semiHidden/>
    <w:unhideWhenUsed/>
    <w:qFormat/>
  </w:style>
  <w:style w:type="numbering" w:customStyle="1" w:styleId="113112">
    <w:name w:val="Нет списка113112"/>
    <w:uiPriority w:val="99"/>
    <w:semiHidden/>
    <w:unhideWhenUsed/>
    <w:qFormat/>
  </w:style>
  <w:style w:type="numbering" w:customStyle="1" w:styleId="32112">
    <w:name w:val="Нет списка32112"/>
    <w:uiPriority w:val="99"/>
    <w:semiHidden/>
    <w:unhideWhenUsed/>
    <w:qFormat/>
  </w:style>
  <w:style w:type="numbering" w:customStyle="1" w:styleId="122112">
    <w:name w:val="Нет списка122112"/>
    <w:uiPriority w:val="99"/>
    <w:semiHidden/>
    <w:unhideWhenUsed/>
    <w:qFormat/>
  </w:style>
  <w:style w:type="numbering" w:customStyle="1" w:styleId="212112">
    <w:name w:val="Нет списка212112"/>
    <w:uiPriority w:val="99"/>
    <w:semiHidden/>
    <w:unhideWhenUsed/>
    <w:qFormat/>
  </w:style>
  <w:style w:type="numbering" w:customStyle="1" w:styleId="1112112">
    <w:name w:val="Нет списка1112112"/>
    <w:uiPriority w:val="99"/>
    <w:semiHidden/>
    <w:unhideWhenUsed/>
    <w:qFormat/>
  </w:style>
  <w:style w:type="numbering" w:customStyle="1" w:styleId="41112">
    <w:name w:val="Нет списка41112"/>
    <w:uiPriority w:val="99"/>
    <w:semiHidden/>
    <w:unhideWhenUsed/>
    <w:qFormat/>
  </w:style>
  <w:style w:type="numbering" w:customStyle="1" w:styleId="131112">
    <w:name w:val="Нет списка131112"/>
    <w:uiPriority w:val="99"/>
    <w:semiHidden/>
    <w:unhideWhenUsed/>
    <w:qFormat/>
  </w:style>
  <w:style w:type="numbering" w:customStyle="1" w:styleId="221112">
    <w:name w:val="Нет списка221112"/>
    <w:uiPriority w:val="99"/>
    <w:semiHidden/>
    <w:unhideWhenUsed/>
    <w:qFormat/>
  </w:style>
  <w:style w:type="numbering" w:customStyle="1" w:styleId="1121112">
    <w:name w:val="Нет списка1121112"/>
    <w:uiPriority w:val="99"/>
    <w:semiHidden/>
    <w:unhideWhenUsed/>
    <w:qFormat/>
  </w:style>
  <w:style w:type="numbering" w:customStyle="1" w:styleId="311112">
    <w:name w:val="Нет списка311112"/>
    <w:uiPriority w:val="99"/>
    <w:semiHidden/>
    <w:unhideWhenUsed/>
    <w:qFormat/>
  </w:style>
  <w:style w:type="numbering" w:customStyle="1" w:styleId="1211112">
    <w:name w:val="Нет списка1211112"/>
    <w:uiPriority w:val="99"/>
    <w:semiHidden/>
    <w:unhideWhenUsed/>
    <w:qFormat/>
  </w:style>
  <w:style w:type="numbering" w:customStyle="1" w:styleId="2111112">
    <w:name w:val="Нет списка2111112"/>
    <w:uiPriority w:val="99"/>
    <w:semiHidden/>
    <w:unhideWhenUsed/>
    <w:qFormat/>
  </w:style>
  <w:style w:type="numbering" w:customStyle="1" w:styleId="111111114">
    <w:name w:val="Нет списка111111114"/>
    <w:uiPriority w:val="99"/>
    <w:semiHidden/>
    <w:unhideWhenUsed/>
    <w:qFormat/>
  </w:style>
  <w:style w:type="numbering" w:customStyle="1" w:styleId="6212">
    <w:name w:val="Нет списка6212"/>
    <w:uiPriority w:val="99"/>
    <w:semiHidden/>
    <w:unhideWhenUsed/>
    <w:qFormat/>
  </w:style>
  <w:style w:type="numbering" w:customStyle="1" w:styleId="15112">
    <w:name w:val="Нет списка15112"/>
    <w:uiPriority w:val="99"/>
    <w:semiHidden/>
    <w:unhideWhenUsed/>
    <w:qFormat/>
  </w:style>
  <w:style w:type="numbering" w:customStyle="1" w:styleId="24112">
    <w:name w:val="Нет списка24112"/>
    <w:uiPriority w:val="99"/>
    <w:semiHidden/>
    <w:unhideWhenUsed/>
    <w:qFormat/>
  </w:style>
  <w:style w:type="numbering" w:customStyle="1" w:styleId="114112">
    <w:name w:val="Нет списка114112"/>
    <w:uiPriority w:val="99"/>
    <w:semiHidden/>
    <w:unhideWhenUsed/>
    <w:qFormat/>
  </w:style>
  <w:style w:type="numbering" w:customStyle="1" w:styleId="33112">
    <w:name w:val="Нет списка33112"/>
    <w:uiPriority w:val="99"/>
    <w:semiHidden/>
    <w:unhideWhenUsed/>
    <w:qFormat/>
  </w:style>
  <w:style w:type="numbering" w:customStyle="1" w:styleId="123112">
    <w:name w:val="Нет списка123112"/>
    <w:uiPriority w:val="99"/>
    <w:semiHidden/>
    <w:unhideWhenUsed/>
    <w:qFormat/>
  </w:style>
  <w:style w:type="numbering" w:customStyle="1" w:styleId="213112">
    <w:name w:val="Нет списка213112"/>
    <w:uiPriority w:val="99"/>
    <w:semiHidden/>
    <w:unhideWhenUsed/>
    <w:qFormat/>
  </w:style>
  <w:style w:type="numbering" w:customStyle="1" w:styleId="1113112">
    <w:name w:val="Нет списка1113112"/>
    <w:uiPriority w:val="99"/>
    <w:semiHidden/>
    <w:unhideWhenUsed/>
    <w:qFormat/>
  </w:style>
  <w:style w:type="numbering" w:customStyle="1" w:styleId="42112">
    <w:name w:val="Нет списка42112"/>
    <w:uiPriority w:val="99"/>
    <w:semiHidden/>
    <w:unhideWhenUsed/>
    <w:qFormat/>
  </w:style>
  <w:style w:type="numbering" w:customStyle="1" w:styleId="132112">
    <w:name w:val="Нет списка132112"/>
    <w:uiPriority w:val="99"/>
    <w:semiHidden/>
    <w:unhideWhenUsed/>
    <w:qFormat/>
  </w:style>
  <w:style w:type="numbering" w:customStyle="1" w:styleId="222112">
    <w:name w:val="Нет списка222112"/>
    <w:uiPriority w:val="99"/>
    <w:semiHidden/>
    <w:unhideWhenUsed/>
    <w:qFormat/>
  </w:style>
  <w:style w:type="numbering" w:customStyle="1" w:styleId="1122112">
    <w:name w:val="Нет списка1122112"/>
    <w:uiPriority w:val="99"/>
    <w:semiHidden/>
    <w:unhideWhenUsed/>
    <w:qFormat/>
  </w:style>
  <w:style w:type="numbering" w:customStyle="1" w:styleId="312112">
    <w:name w:val="Нет списка312112"/>
    <w:uiPriority w:val="99"/>
    <w:semiHidden/>
    <w:unhideWhenUsed/>
    <w:qFormat/>
  </w:style>
  <w:style w:type="numbering" w:customStyle="1" w:styleId="1212112">
    <w:name w:val="Нет списка1212112"/>
    <w:uiPriority w:val="99"/>
    <w:semiHidden/>
    <w:unhideWhenUsed/>
    <w:qFormat/>
  </w:style>
  <w:style w:type="numbering" w:customStyle="1" w:styleId="2112112">
    <w:name w:val="Нет списка2112112"/>
    <w:uiPriority w:val="99"/>
    <w:semiHidden/>
    <w:unhideWhenUsed/>
    <w:qFormat/>
  </w:style>
  <w:style w:type="numbering" w:customStyle="1" w:styleId="11112112">
    <w:name w:val="Нет списка11112112"/>
    <w:uiPriority w:val="99"/>
    <w:semiHidden/>
    <w:unhideWhenUsed/>
    <w:qFormat/>
  </w:style>
  <w:style w:type="numbering" w:customStyle="1" w:styleId="51112">
    <w:name w:val="Нет списка51112"/>
    <w:uiPriority w:val="99"/>
    <w:semiHidden/>
    <w:unhideWhenUsed/>
    <w:qFormat/>
  </w:style>
  <w:style w:type="numbering" w:customStyle="1" w:styleId="61112">
    <w:name w:val="Нет списка61112"/>
    <w:uiPriority w:val="99"/>
    <w:semiHidden/>
    <w:unhideWhenUsed/>
    <w:qFormat/>
  </w:style>
  <w:style w:type="numbering" w:customStyle="1" w:styleId="812">
    <w:name w:val="Нет списка812"/>
    <w:uiPriority w:val="99"/>
    <w:semiHidden/>
    <w:unhideWhenUsed/>
    <w:qFormat/>
  </w:style>
  <w:style w:type="numbering" w:customStyle="1" w:styleId="912">
    <w:name w:val="Нет списка912"/>
    <w:semiHidden/>
    <w:qFormat/>
  </w:style>
  <w:style w:type="numbering" w:customStyle="1" w:styleId="1012">
    <w:name w:val="Нет списка1012"/>
    <w:semiHidden/>
    <w:qFormat/>
  </w:style>
  <w:style w:type="numbering" w:customStyle="1" w:styleId="202">
    <w:name w:val="Нет списка202"/>
    <w:uiPriority w:val="99"/>
    <w:semiHidden/>
    <w:unhideWhenUsed/>
    <w:qFormat/>
  </w:style>
  <w:style w:type="numbering" w:customStyle="1" w:styleId="1172">
    <w:name w:val="Нет списка1172"/>
    <w:uiPriority w:val="99"/>
    <w:semiHidden/>
    <w:unhideWhenUsed/>
    <w:qFormat/>
  </w:style>
  <w:style w:type="numbering" w:customStyle="1" w:styleId="1182">
    <w:name w:val="Нет списка1182"/>
    <w:uiPriority w:val="99"/>
    <w:semiHidden/>
    <w:unhideWhenUsed/>
    <w:qFormat/>
  </w:style>
  <w:style w:type="numbering" w:customStyle="1" w:styleId="272">
    <w:name w:val="Нет списка272"/>
    <w:uiPriority w:val="99"/>
    <w:semiHidden/>
    <w:unhideWhenUsed/>
    <w:qFormat/>
  </w:style>
  <w:style w:type="numbering" w:customStyle="1" w:styleId="11162">
    <w:name w:val="Нет списка11162"/>
    <w:uiPriority w:val="99"/>
    <w:semiHidden/>
    <w:unhideWhenUsed/>
    <w:qFormat/>
  </w:style>
  <w:style w:type="numbering" w:customStyle="1" w:styleId="362">
    <w:name w:val="Нет списка362"/>
    <w:uiPriority w:val="99"/>
    <w:semiHidden/>
    <w:unhideWhenUsed/>
    <w:qFormat/>
  </w:style>
  <w:style w:type="numbering" w:customStyle="1" w:styleId="1262">
    <w:name w:val="Нет списка1262"/>
    <w:uiPriority w:val="99"/>
    <w:semiHidden/>
    <w:unhideWhenUsed/>
    <w:qFormat/>
  </w:style>
  <w:style w:type="numbering" w:customStyle="1" w:styleId="2162">
    <w:name w:val="Нет списка2162"/>
    <w:uiPriority w:val="99"/>
    <w:semiHidden/>
    <w:unhideWhenUsed/>
    <w:qFormat/>
  </w:style>
  <w:style w:type="numbering" w:customStyle="1" w:styleId="111152">
    <w:name w:val="Нет списка111152"/>
    <w:uiPriority w:val="99"/>
    <w:semiHidden/>
    <w:unhideWhenUsed/>
    <w:qFormat/>
  </w:style>
  <w:style w:type="numbering" w:customStyle="1" w:styleId="452">
    <w:name w:val="Нет списка452"/>
    <w:uiPriority w:val="99"/>
    <w:semiHidden/>
    <w:unhideWhenUsed/>
    <w:qFormat/>
  </w:style>
  <w:style w:type="numbering" w:customStyle="1" w:styleId="1352">
    <w:name w:val="Нет списка1352"/>
    <w:uiPriority w:val="99"/>
    <w:semiHidden/>
    <w:unhideWhenUsed/>
    <w:qFormat/>
  </w:style>
  <w:style w:type="numbering" w:customStyle="1" w:styleId="2252">
    <w:name w:val="Нет списка2252"/>
    <w:uiPriority w:val="99"/>
    <w:semiHidden/>
    <w:unhideWhenUsed/>
    <w:qFormat/>
  </w:style>
  <w:style w:type="numbering" w:customStyle="1" w:styleId="11252">
    <w:name w:val="Нет списка11252"/>
    <w:uiPriority w:val="99"/>
    <w:semiHidden/>
    <w:unhideWhenUsed/>
    <w:qFormat/>
  </w:style>
  <w:style w:type="numbering" w:customStyle="1" w:styleId="3152">
    <w:name w:val="Нет списка3152"/>
    <w:uiPriority w:val="99"/>
    <w:semiHidden/>
    <w:unhideWhenUsed/>
    <w:qFormat/>
  </w:style>
  <w:style w:type="numbering" w:customStyle="1" w:styleId="12152">
    <w:name w:val="Нет списка12152"/>
    <w:uiPriority w:val="99"/>
    <w:semiHidden/>
    <w:unhideWhenUsed/>
    <w:qFormat/>
  </w:style>
  <w:style w:type="numbering" w:customStyle="1" w:styleId="21152">
    <w:name w:val="Нет списка21152"/>
    <w:uiPriority w:val="99"/>
    <w:semiHidden/>
    <w:unhideWhenUsed/>
    <w:qFormat/>
  </w:style>
  <w:style w:type="numbering" w:customStyle="1" w:styleId="1111132">
    <w:name w:val="Нет списка1111132"/>
    <w:uiPriority w:val="99"/>
    <w:semiHidden/>
    <w:unhideWhenUsed/>
    <w:qFormat/>
  </w:style>
  <w:style w:type="numbering" w:customStyle="1" w:styleId="542">
    <w:name w:val="Нет списка542"/>
    <w:uiPriority w:val="99"/>
    <w:semiHidden/>
    <w:unhideWhenUsed/>
    <w:qFormat/>
  </w:style>
  <w:style w:type="numbering" w:customStyle="1" w:styleId="1432">
    <w:name w:val="Нет списка1432"/>
    <w:uiPriority w:val="99"/>
    <w:semiHidden/>
    <w:unhideWhenUsed/>
    <w:qFormat/>
  </w:style>
  <w:style w:type="numbering" w:customStyle="1" w:styleId="2332">
    <w:name w:val="Нет списка2332"/>
    <w:uiPriority w:val="99"/>
    <w:semiHidden/>
    <w:unhideWhenUsed/>
    <w:qFormat/>
  </w:style>
  <w:style w:type="numbering" w:customStyle="1" w:styleId="11332">
    <w:name w:val="Нет списка11332"/>
    <w:uiPriority w:val="99"/>
    <w:semiHidden/>
    <w:unhideWhenUsed/>
    <w:qFormat/>
  </w:style>
  <w:style w:type="numbering" w:customStyle="1" w:styleId="3232">
    <w:name w:val="Нет списка3232"/>
    <w:uiPriority w:val="99"/>
    <w:semiHidden/>
    <w:unhideWhenUsed/>
    <w:qFormat/>
  </w:style>
  <w:style w:type="numbering" w:customStyle="1" w:styleId="12232">
    <w:name w:val="Нет списка12232"/>
    <w:uiPriority w:val="99"/>
    <w:semiHidden/>
    <w:unhideWhenUsed/>
    <w:qFormat/>
  </w:style>
  <w:style w:type="numbering" w:customStyle="1" w:styleId="21232">
    <w:name w:val="Нет списка21232"/>
    <w:uiPriority w:val="99"/>
    <w:semiHidden/>
    <w:unhideWhenUsed/>
    <w:qFormat/>
  </w:style>
  <w:style w:type="numbering" w:customStyle="1" w:styleId="111232">
    <w:name w:val="Нет списка111232"/>
    <w:uiPriority w:val="99"/>
    <w:semiHidden/>
    <w:unhideWhenUsed/>
    <w:qFormat/>
  </w:style>
  <w:style w:type="numbering" w:customStyle="1" w:styleId="4132">
    <w:name w:val="Нет списка4132"/>
    <w:uiPriority w:val="99"/>
    <w:semiHidden/>
    <w:unhideWhenUsed/>
    <w:qFormat/>
  </w:style>
  <w:style w:type="numbering" w:customStyle="1" w:styleId="13132">
    <w:name w:val="Нет списка13132"/>
    <w:uiPriority w:val="99"/>
    <w:semiHidden/>
    <w:unhideWhenUsed/>
    <w:qFormat/>
  </w:style>
  <w:style w:type="numbering" w:customStyle="1" w:styleId="22132">
    <w:name w:val="Нет списка22132"/>
    <w:uiPriority w:val="99"/>
    <w:semiHidden/>
    <w:unhideWhenUsed/>
    <w:qFormat/>
  </w:style>
  <w:style w:type="numbering" w:customStyle="1" w:styleId="112132">
    <w:name w:val="Нет списка112132"/>
    <w:uiPriority w:val="99"/>
    <w:semiHidden/>
    <w:unhideWhenUsed/>
    <w:qFormat/>
  </w:style>
  <w:style w:type="numbering" w:customStyle="1" w:styleId="31132">
    <w:name w:val="Нет списка31132"/>
    <w:uiPriority w:val="99"/>
    <w:semiHidden/>
    <w:unhideWhenUsed/>
    <w:qFormat/>
  </w:style>
  <w:style w:type="numbering" w:customStyle="1" w:styleId="121132">
    <w:name w:val="Нет списка121132"/>
    <w:uiPriority w:val="99"/>
    <w:semiHidden/>
    <w:unhideWhenUsed/>
    <w:qFormat/>
  </w:style>
  <w:style w:type="numbering" w:customStyle="1" w:styleId="211132">
    <w:name w:val="Нет списка211132"/>
    <w:uiPriority w:val="99"/>
    <w:semiHidden/>
    <w:unhideWhenUsed/>
    <w:qFormat/>
  </w:style>
  <w:style w:type="numbering" w:customStyle="1" w:styleId="11111132">
    <w:name w:val="Нет списка11111132"/>
    <w:uiPriority w:val="99"/>
    <w:semiHidden/>
    <w:unhideWhenUsed/>
    <w:qFormat/>
  </w:style>
  <w:style w:type="numbering" w:customStyle="1" w:styleId="642">
    <w:name w:val="Нет списка642"/>
    <w:uiPriority w:val="99"/>
    <w:semiHidden/>
    <w:unhideWhenUsed/>
    <w:qFormat/>
  </w:style>
  <w:style w:type="numbering" w:customStyle="1" w:styleId="1532">
    <w:name w:val="Нет списка1532"/>
    <w:uiPriority w:val="99"/>
    <w:semiHidden/>
    <w:unhideWhenUsed/>
    <w:qFormat/>
  </w:style>
  <w:style w:type="numbering" w:customStyle="1" w:styleId="2432">
    <w:name w:val="Нет списка2432"/>
    <w:uiPriority w:val="99"/>
    <w:semiHidden/>
    <w:unhideWhenUsed/>
    <w:qFormat/>
  </w:style>
  <w:style w:type="numbering" w:customStyle="1" w:styleId="11432">
    <w:name w:val="Нет списка11432"/>
    <w:uiPriority w:val="99"/>
    <w:semiHidden/>
    <w:unhideWhenUsed/>
    <w:qFormat/>
  </w:style>
  <w:style w:type="numbering" w:customStyle="1" w:styleId="3332">
    <w:name w:val="Нет списка3332"/>
    <w:uiPriority w:val="99"/>
    <w:semiHidden/>
    <w:unhideWhenUsed/>
    <w:qFormat/>
  </w:style>
  <w:style w:type="numbering" w:customStyle="1" w:styleId="12332">
    <w:name w:val="Нет списка12332"/>
    <w:uiPriority w:val="99"/>
    <w:semiHidden/>
    <w:unhideWhenUsed/>
    <w:qFormat/>
  </w:style>
  <w:style w:type="numbering" w:customStyle="1" w:styleId="21332">
    <w:name w:val="Нет списка21332"/>
    <w:uiPriority w:val="99"/>
    <w:semiHidden/>
    <w:unhideWhenUsed/>
    <w:qFormat/>
  </w:style>
  <w:style w:type="numbering" w:customStyle="1" w:styleId="111332">
    <w:name w:val="Нет списка111332"/>
    <w:uiPriority w:val="99"/>
    <w:semiHidden/>
    <w:unhideWhenUsed/>
    <w:qFormat/>
  </w:style>
  <w:style w:type="numbering" w:customStyle="1" w:styleId="4232">
    <w:name w:val="Нет списка4232"/>
    <w:uiPriority w:val="99"/>
    <w:semiHidden/>
    <w:unhideWhenUsed/>
    <w:qFormat/>
  </w:style>
  <w:style w:type="numbering" w:customStyle="1" w:styleId="13232">
    <w:name w:val="Нет списка13232"/>
    <w:uiPriority w:val="99"/>
    <w:semiHidden/>
    <w:unhideWhenUsed/>
    <w:qFormat/>
  </w:style>
  <w:style w:type="numbering" w:customStyle="1" w:styleId="22232">
    <w:name w:val="Нет списка22232"/>
    <w:uiPriority w:val="99"/>
    <w:semiHidden/>
    <w:unhideWhenUsed/>
    <w:qFormat/>
  </w:style>
  <w:style w:type="numbering" w:customStyle="1" w:styleId="112232">
    <w:name w:val="Нет списка112232"/>
    <w:uiPriority w:val="99"/>
    <w:semiHidden/>
    <w:unhideWhenUsed/>
    <w:qFormat/>
  </w:style>
  <w:style w:type="numbering" w:customStyle="1" w:styleId="31232">
    <w:name w:val="Нет списка31232"/>
    <w:uiPriority w:val="99"/>
    <w:semiHidden/>
    <w:unhideWhenUsed/>
    <w:qFormat/>
  </w:style>
  <w:style w:type="numbering" w:customStyle="1" w:styleId="121232">
    <w:name w:val="Нет списка121232"/>
    <w:uiPriority w:val="99"/>
    <w:semiHidden/>
    <w:unhideWhenUsed/>
    <w:qFormat/>
  </w:style>
  <w:style w:type="numbering" w:customStyle="1" w:styleId="211232">
    <w:name w:val="Нет списка211232"/>
    <w:uiPriority w:val="99"/>
    <w:semiHidden/>
    <w:unhideWhenUsed/>
    <w:qFormat/>
  </w:style>
  <w:style w:type="numbering" w:customStyle="1" w:styleId="1111232">
    <w:name w:val="Нет списка1111232"/>
    <w:uiPriority w:val="99"/>
    <w:semiHidden/>
    <w:unhideWhenUsed/>
    <w:qFormat/>
  </w:style>
  <w:style w:type="numbering" w:customStyle="1" w:styleId="5132">
    <w:name w:val="Нет списка5132"/>
    <w:uiPriority w:val="99"/>
    <w:semiHidden/>
    <w:unhideWhenUsed/>
    <w:qFormat/>
  </w:style>
  <w:style w:type="numbering" w:customStyle="1" w:styleId="6132">
    <w:name w:val="Нет списка6132"/>
    <w:uiPriority w:val="99"/>
    <w:semiHidden/>
    <w:unhideWhenUsed/>
    <w:qFormat/>
  </w:style>
  <w:style w:type="numbering" w:customStyle="1" w:styleId="722">
    <w:name w:val="Нет списка722"/>
    <w:uiPriority w:val="99"/>
    <w:semiHidden/>
    <w:unhideWhenUsed/>
    <w:qFormat/>
  </w:style>
  <w:style w:type="numbering" w:customStyle="1" w:styleId="1622">
    <w:name w:val="Нет списка1622"/>
    <w:uiPriority w:val="99"/>
    <w:semiHidden/>
    <w:unhideWhenUsed/>
    <w:qFormat/>
  </w:style>
  <w:style w:type="numbering" w:customStyle="1" w:styleId="11522">
    <w:name w:val="Нет списка11522"/>
    <w:uiPriority w:val="99"/>
    <w:semiHidden/>
    <w:unhideWhenUsed/>
    <w:qFormat/>
  </w:style>
  <w:style w:type="numbering" w:customStyle="1" w:styleId="2522">
    <w:name w:val="Нет списка2522"/>
    <w:uiPriority w:val="99"/>
    <w:semiHidden/>
    <w:unhideWhenUsed/>
    <w:qFormat/>
  </w:style>
  <w:style w:type="numbering" w:customStyle="1" w:styleId="111422">
    <w:name w:val="Нет списка111422"/>
    <w:uiPriority w:val="99"/>
    <w:semiHidden/>
    <w:unhideWhenUsed/>
    <w:qFormat/>
  </w:style>
  <w:style w:type="numbering" w:customStyle="1" w:styleId="3422">
    <w:name w:val="Нет списка3422"/>
    <w:uiPriority w:val="99"/>
    <w:semiHidden/>
    <w:unhideWhenUsed/>
    <w:qFormat/>
  </w:style>
  <w:style w:type="numbering" w:customStyle="1" w:styleId="12422">
    <w:name w:val="Нет списка12422"/>
    <w:uiPriority w:val="99"/>
    <w:semiHidden/>
    <w:unhideWhenUsed/>
    <w:qFormat/>
  </w:style>
  <w:style w:type="numbering" w:customStyle="1" w:styleId="21422">
    <w:name w:val="Нет списка21422"/>
    <w:uiPriority w:val="99"/>
    <w:semiHidden/>
    <w:unhideWhenUsed/>
    <w:qFormat/>
  </w:style>
  <w:style w:type="numbering" w:customStyle="1" w:styleId="1111322">
    <w:name w:val="Нет списка1111322"/>
    <w:uiPriority w:val="99"/>
    <w:semiHidden/>
    <w:unhideWhenUsed/>
    <w:qFormat/>
  </w:style>
  <w:style w:type="numbering" w:customStyle="1" w:styleId="4322">
    <w:name w:val="Нет списка4322"/>
    <w:uiPriority w:val="99"/>
    <w:semiHidden/>
    <w:unhideWhenUsed/>
    <w:qFormat/>
  </w:style>
  <w:style w:type="numbering" w:customStyle="1" w:styleId="13322">
    <w:name w:val="Нет списка13322"/>
    <w:uiPriority w:val="99"/>
    <w:semiHidden/>
    <w:unhideWhenUsed/>
    <w:qFormat/>
  </w:style>
  <w:style w:type="numbering" w:customStyle="1" w:styleId="22322">
    <w:name w:val="Нет списка22322"/>
    <w:uiPriority w:val="99"/>
    <w:semiHidden/>
    <w:unhideWhenUsed/>
    <w:qFormat/>
  </w:style>
  <w:style w:type="numbering" w:customStyle="1" w:styleId="112322">
    <w:name w:val="Нет списка112322"/>
    <w:uiPriority w:val="99"/>
    <w:semiHidden/>
    <w:unhideWhenUsed/>
    <w:qFormat/>
  </w:style>
  <w:style w:type="numbering" w:customStyle="1" w:styleId="31322">
    <w:name w:val="Нет списка31322"/>
    <w:uiPriority w:val="99"/>
    <w:semiHidden/>
    <w:unhideWhenUsed/>
    <w:qFormat/>
  </w:style>
  <w:style w:type="numbering" w:customStyle="1" w:styleId="121322">
    <w:name w:val="Нет списка121322"/>
    <w:uiPriority w:val="99"/>
    <w:semiHidden/>
    <w:unhideWhenUsed/>
    <w:qFormat/>
  </w:style>
  <w:style w:type="numbering" w:customStyle="1" w:styleId="211322">
    <w:name w:val="Нет списка211322"/>
    <w:uiPriority w:val="99"/>
    <w:semiHidden/>
    <w:unhideWhenUsed/>
    <w:qFormat/>
  </w:style>
  <w:style w:type="numbering" w:customStyle="1" w:styleId="111111122">
    <w:name w:val="Нет списка111111122"/>
    <w:uiPriority w:val="99"/>
    <w:semiHidden/>
    <w:unhideWhenUsed/>
    <w:qFormat/>
  </w:style>
  <w:style w:type="numbering" w:customStyle="1" w:styleId="5222">
    <w:name w:val="Нет списка5222"/>
    <w:uiPriority w:val="99"/>
    <w:semiHidden/>
    <w:unhideWhenUsed/>
    <w:qFormat/>
  </w:style>
  <w:style w:type="numbering" w:customStyle="1" w:styleId="14122">
    <w:name w:val="Нет списка14122"/>
    <w:uiPriority w:val="99"/>
    <w:semiHidden/>
    <w:unhideWhenUsed/>
    <w:qFormat/>
  </w:style>
  <w:style w:type="numbering" w:customStyle="1" w:styleId="23122">
    <w:name w:val="Нет списка23122"/>
    <w:uiPriority w:val="99"/>
    <w:semiHidden/>
    <w:unhideWhenUsed/>
    <w:qFormat/>
  </w:style>
  <w:style w:type="numbering" w:customStyle="1" w:styleId="113122">
    <w:name w:val="Нет списка113122"/>
    <w:uiPriority w:val="99"/>
    <w:semiHidden/>
    <w:unhideWhenUsed/>
    <w:qFormat/>
  </w:style>
  <w:style w:type="numbering" w:customStyle="1" w:styleId="32122">
    <w:name w:val="Нет списка32122"/>
    <w:uiPriority w:val="99"/>
    <w:semiHidden/>
    <w:unhideWhenUsed/>
    <w:qFormat/>
  </w:style>
  <w:style w:type="numbering" w:customStyle="1" w:styleId="122122">
    <w:name w:val="Нет списка122122"/>
    <w:uiPriority w:val="99"/>
    <w:semiHidden/>
    <w:unhideWhenUsed/>
    <w:qFormat/>
  </w:style>
  <w:style w:type="numbering" w:customStyle="1" w:styleId="212122">
    <w:name w:val="Нет списка212122"/>
    <w:uiPriority w:val="99"/>
    <w:semiHidden/>
    <w:unhideWhenUsed/>
    <w:qFormat/>
  </w:style>
  <w:style w:type="numbering" w:customStyle="1" w:styleId="1112122">
    <w:name w:val="Нет списка1112122"/>
    <w:uiPriority w:val="99"/>
    <w:semiHidden/>
    <w:unhideWhenUsed/>
    <w:qFormat/>
  </w:style>
  <w:style w:type="numbering" w:customStyle="1" w:styleId="41122">
    <w:name w:val="Нет списка41122"/>
    <w:uiPriority w:val="99"/>
    <w:semiHidden/>
    <w:unhideWhenUsed/>
    <w:qFormat/>
  </w:style>
  <w:style w:type="numbering" w:customStyle="1" w:styleId="131122">
    <w:name w:val="Нет списка131122"/>
    <w:uiPriority w:val="99"/>
    <w:semiHidden/>
    <w:unhideWhenUsed/>
    <w:qFormat/>
  </w:style>
  <w:style w:type="numbering" w:customStyle="1" w:styleId="221122">
    <w:name w:val="Нет списка221122"/>
    <w:uiPriority w:val="99"/>
    <w:semiHidden/>
    <w:unhideWhenUsed/>
    <w:qFormat/>
  </w:style>
  <w:style w:type="numbering" w:customStyle="1" w:styleId="1121122">
    <w:name w:val="Нет списка1121122"/>
    <w:uiPriority w:val="99"/>
    <w:semiHidden/>
    <w:unhideWhenUsed/>
    <w:qFormat/>
  </w:style>
  <w:style w:type="numbering" w:customStyle="1" w:styleId="311122">
    <w:name w:val="Нет списка311122"/>
    <w:uiPriority w:val="99"/>
    <w:semiHidden/>
    <w:unhideWhenUsed/>
    <w:qFormat/>
  </w:style>
  <w:style w:type="numbering" w:customStyle="1" w:styleId="1211122">
    <w:name w:val="Нет списка1211122"/>
    <w:uiPriority w:val="99"/>
    <w:semiHidden/>
    <w:unhideWhenUsed/>
    <w:qFormat/>
  </w:style>
  <w:style w:type="numbering" w:customStyle="1" w:styleId="2111122">
    <w:name w:val="Нет списка2111122"/>
    <w:uiPriority w:val="99"/>
    <w:semiHidden/>
    <w:unhideWhenUsed/>
    <w:qFormat/>
  </w:style>
  <w:style w:type="numbering" w:customStyle="1" w:styleId="1111111112">
    <w:name w:val="Нет списка1111111112"/>
    <w:uiPriority w:val="99"/>
    <w:semiHidden/>
    <w:unhideWhenUsed/>
    <w:qFormat/>
  </w:style>
  <w:style w:type="numbering" w:customStyle="1" w:styleId="6222">
    <w:name w:val="Нет списка6222"/>
    <w:uiPriority w:val="99"/>
    <w:semiHidden/>
    <w:unhideWhenUsed/>
    <w:qFormat/>
  </w:style>
  <w:style w:type="numbering" w:customStyle="1" w:styleId="15122">
    <w:name w:val="Нет списка15122"/>
    <w:uiPriority w:val="99"/>
    <w:semiHidden/>
    <w:unhideWhenUsed/>
    <w:qFormat/>
  </w:style>
  <w:style w:type="numbering" w:customStyle="1" w:styleId="24122">
    <w:name w:val="Нет списка24122"/>
    <w:uiPriority w:val="99"/>
    <w:semiHidden/>
    <w:unhideWhenUsed/>
    <w:qFormat/>
  </w:style>
  <w:style w:type="numbering" w:customStyle="1" w:styleId="114122">
    <w:name w:val="Нет списка114122"/>
    <w:uiPriority w:val="99"/>
    <w:semiHidden/>
    <w:unhideWhenUsed/>
    <w:qFormat/>
  </w:style>
  <w:style w:type="numbering" w:customStyle="1" w:styleId="33122">
    <w:name w:val="Нет списка33122"/>
    <w:uiPriority w:val="99"/>
    <w:semiHidden/>
    <w:unhideWhenUsed/>
    <w:qFormat/>
  </w:style>
  <w:style w:type="numbering" w:customStyle="1" w:styleId="123122">
    <w:name w:val="Нет списка123122"/>
    <w:uiPriority w:val="99"/>
    <w:semiHidden/>
    <w:unhideWhenUsed/>
    <w:qFormat/>
  </w:style>
  <w:style w:type="numbering" w:customStyle="1" w:styleId="213122">
    <w:name w:val="Нет списка213122"/>
    <w:uiPriority w:val="99"/>
    <w:semiHidden/>
    <w:unhideWhenUsed/>
    <w:qFormat/>
  </w:style>
  <w:style w:type="numbering" w:customStyle="1" w:styleId="1113122">
    <w:name w:val="Нет списка1113122"/>
    <w:uiPriority w:val="99"/>
    <w:semiHidden/>
    <w:unhideWhenUsed/>
    <w:qFormat/>
  </w:style>
  <w:style w:type="numbering" w:customStyle="1" w:styleId="42122">
    <w:name w:val="Нет списка42122"/>
    <w:uiPriority w:val="99"/>
    <w:semiHidden/>
    <w:unhideWhenUsed/>
    <w:qFormat/>
  </w:style>
  <w:style w:type="numbering" w:customStyle="1" w:styleId="132122">
    <w:name w:val="Нет списка132122"/>
    <w:uiPriority w:val="99"/>
    <w:semiHidden/>
    <w:unhideWhenUsed/>
    <w:qFormat/>
  </w:style>
  <w:style w:type="numbering" w:customStyle="1" w:styleId="222122">
    <w:name w:val="Нет списка222122"/>
    <w:uiPriority w:val="99"/>
    <w:semiHidden/>
    <w:unhideWhenUsed/>
    <w:qFormat/>
  </w:style>
  <w:style w:type="numbering" w:customStyle="1" w:styleId="1122122">
    <w:name w:val="Нет списка1122122"/>
    <w:uiPriority w:val="99"/>
    <w:semiHidden/>
    <w:unhideWhenUsed/>
    <w:qFormat/>
  </w:style>
  <w:style w:type="numbering" w:customStyle="1" w:styleId="312122">
    <w:name w:val="Нет списка312122"/>
    <w:uiPriority w:val="99"/>
    <w:semiHidden/>
    <w:unhideWhenUsed/>
    <w:qFormat/>
  </w:style>
  <w:style w:type="numbering" w:customStyle="1" w:styleId="1212122">
    <w:name w:val="Нет списка1212122"/>
    <w:uiPriority w:val="99"/>
    <w:semiHidden/>
    <w:unhideWhenUsed/>
    <w:qFormat/>
  </w:style>
  <w:style w:type="numbering" w:customStyle="1" w:styleId="2112122">
    <w:name w:val="Нет списка2112122"/>
    <w:uiPriority w:val="99"/>
    <w:semiHidden/>
    <w:unhideWhenUsed/>
    <w:qFormat/>
  </w:style>
  <w:style w:type="numbering" w:customStyle="1" w:styleId="11112122">
    <w:name w:val="Нет списка11112122"/>
    <w:uiPriority w:val="99"/>
    <w:semiHidden/>
    <w:unhideWhenUsed/>
    <w:qFormat/>
  </w:style>
  <w:style w:type="numbering" w:customStyle="1" w:styleId="51122">
    <w:name w:val="Нет списка51122"/>
    <w:uiPriority w:val="99"/>
    <w:semiHidden/>
    <w:unhideWhenUsed/>
    <w:qFormat/>
  </w:style>
  <w:style w:type="numbering" w:customStyle="1" w:styleId="61122">
    <w:name w:val="Нет списка61122"/>
    <w:uiPriority w:val="99"/>
    <w:semiHidden/>
    <w:unhideWhenUsed/>
    <w:qFormat/>
  </w:style>
  <w:style w:type="numbering" w:customStyle="1" w:styleId="822">
    <w:name w:val="Нет списка822"/>
    <w:uiPriority w:val="99"/>
    <w:semiHidden/>
    <w:unhideWhenUsed/>
    <w:qFormat/>
  </w:style>
  <w:style w:type="numbering" w:customStyle="1" w:styleId="922">
    <w:name w:val="Нет списка922"/>
    <w:semiHidden/>
    <w:qFormat/>
  </w:style>
  <w:style w:type="numbering" w:customStyle="1" w:styleId="1022">
    <w:name w:val="Нет списка1022"/>
    <w:semiHidden/>
    <w:qFormat/>
  </w:style>
  <w:style w:type="numbering" w:customStyle="1" w:styleId="282">
    <w:name w:val="Нет списка282"/>
    <w:uiPriority w:val="99"/>
    <w:semiHidden/>
    <w:unhideWhenUsed/>
    <w:qFormat/>
  </w:style>
  <w:style w:type="numbering" w:customStyle="1" w:styleId="1192">
    <w:name w:val="Нет списка1192"/>
    <w:uiPriority w:val="99"/>
    <w:semiHidden/>
    <w:unhideWhenUsed/>
    <w:qFormat/>
  </w:style>
  <w:style w:type="numbering" w:customStyle="1" w:styleId="11102">
    <w:name w:val="Нет списка11102"/>
    <w:uiPriority w:val="99"/>
    <w:semiHidden/>
    <w:unhideWhenUsed/>
    <w:qFormat/>
  </w:style>
  <w:style w:type="numbering" w:customStyle="1" w:styleId="292">
    <w:name w:val="Нет списка292"/>
    <w:uiPriority w:val="99"/>
    <w:semiHidden/>
    <w:unhideWhenUsed/>
    <w:qFormat/>
  </w:style>
  <w:style w:type="numbering" w:customStyle="1" w:styleId="11172">
    <w:name w:val="Нет списка11172"/>
    <w:uiPriority w:val="99"/>
    <w:semiHidden/>
    <w:unhideWhenUsed/>
    <w:qFormat/>
  </w:style>
  <w:style w:type="numbering" w:customStyle="1" w:styleId="372">
    <w:name w:val="Нет списка372"/>
    <w:uiPriority w:val="99"/>
    <w:semiHidden/>
    <w:unhideWhenUsed/>
    <w:qFormat/>
  </w:style>
  <w:style w:type="numbering" w:customStyle="1" w:styleId="1272">
    <w:name w:val="Нет списка1272"/>
    <w:uiPriority w:val="99"/>
    <w:semiHidden/>
    <w:unhideWhenUsed/>
    <w:qFormat/>
  </w:style>
  <w:style w:type="numbering" w:customStyle="1" w:styleId="2172">
    <w:name w:val="Нет списка2172"/>
    <w:uiPriority w:val="99"/>
    <w:semiHidden/>
    <w:unhideWhenUsed/>
    <w:qFormat/>
  </w:style>
  <w:style w:type="numbering" w:customStyle="1" w:styleId="111162">
    <w:name w:val="Нет списка111162"/>
    <w:uiPriority w:val="99"/>
    <w:semiHidden/>
    <w:unhideWhenUsed/>
    <w:qFormat/>
  </w:style>
  <w:style w:type="numbering" w:customStyle="1" w:styleId="462">
    <w:name w:val="Нет списка462"/>
    <w:uiPriority w:val="99"/>
    <w:semiHidden/>
    <w:unhideWhenUsed/>
    <w:qFormat/>
  </w:style>
  <w:style w:type="numbering" w:customStyle="1" w:styleId="1362">
    <w:name w:val="Нет списка1362"/>
    <w:uiPriority w:val="99"/>
    <w:semiHidden/>
    <w:unhideWhenUsed/>
    <w:qFormat/>
  </w:style>
  <w:style w:type="numbering" w:customStyle="1" w:styleId="2262">
    <w:name w:val="Нет списка2262"/>
    <w:uiPriority w:val="99"/>
    <w:semiHidden/>
    <w:unhideWhenUsed/>
    <w:qFormat/>
  </w:style>
  <w:style w:type="numbering" w:customStyle="1" w:styleId="11262">
    <w:name w:val="Нет списка11262"/>
    <w:uiPriority w:val="99"/>
    <w:semiHidden/>
    <w:unhideWhenUsed/>
    <w:qFormat/>
  </w:style>
  <w:style w:type="numbering" w:customStyle="1" w:styleId="3162">
    <w:name w:val="Нет списка3162"/>
    <w:uiPriority w:val="99"/>
    <w:semiHidden/>
    <w:unhideWhenUsed/>
    <w:qFormat/>
  </w:style>
  <w:style w:type="numbering" w:customStyle="1" w:styleId="12162">
    <w:name w:val="Нет списка12162"/>
    <w:uiPriority w:val="99"/>
    <w:semiHidden/>
    <w:unhideWhenUsed/>
    <w:qFormat/>
  </w:style>
  <w:style w:type="numbering" w:customStyle="1" w:styleId="21162">
    <w:name w:val="Нет списка21162"/>
    <w:uiPriority w:val="99"/>
    <w:semiHidden/>
    <w:unhideWhenUsed/>
    <w:qFormat/>
  </w:style>
  <w:style w:type="numbering" w:customStyle="1" w:styleId="1111142">
    <w:name w:val="Нет списка1111142"/>
    <w:uiPriority w:val="99"/>
    <w:semiHidden/>
    <w:unhideWhenUsed/>
    <w:qFormat/>
  </w:style>
  <w:style w:type="numbering" w:customStyle="1" w:styleId="552">
    <w:name w:val="Нет списка552"/>
    <w:uiPriority w:val="99"/>
    <w:semiHidden/>
    <w:unhideWhenUsed/>
    <w:qFormat/>
  </w:style>
  <w:style w:type="numbering" w:customStyle="1" w:styleId="1442">
    <w:name w:val="Нет списка1442"/>
    <w:uiPriority w:val="99"/>
    <w:semiHidden/>
    <w:unhideWhenUsed/>
    <w:qFormat/>
  </w:style>
  <w:style w:type="numbering" w:customStyle="1" w:styleId="2342">
    <w:name w:val="Нет списка2342"/>
    <w:uiPriority w:val="99"/>
    <w:semiHidden/>
    <w:unhideWhenUsed/>
    <w:qFormat/>
  </w:style>
  <w:style w:type="numbering" w:customStyle="1" w:styleId="11342">
    <w:name w:val="Нет списка11342"/>
    <w:uiPriority w:val="99"/>
    <w:semiHidden/>
    <w:unhideWhenUsed/>
    <w:qFormat/>
  </w:style>
  <w:style w:type="numbering" w:customStyle="1" w:styleId="3242">
    <w:name w:val="Нет списка3242"/>
    <w:uiPriority w:val="99"/>
    <w:semiHidden/>
    <w:unhideWhenUsed/>
    <w:qFormat/>
  </w:style>
  <w:style w:type="numbering" w:customStyle="1" w:styleId="12242">
    <w:name w:val="Нет списка12242"/>
    <w:uiPriority w:val="99"/>
    <w:semiHidden/>
    <w:unhideWhenUsed/>
    <w:qFormat/>
  </w:style>
  <w:style w:type="numbering" w:customStyle="1" w:styleId="21242">
    <w:name w:val="Нет списка21242"/>
    <w:uiPriority w:val="99"/>
    <w:semiHidden/>
    <w:unhideWhenUsed/>
    <w:qFormat/>
  </w:style>
  <w:style w:type="numbering" w:customStyle="1" w:styleId="111242">
    <w:name w:val="Нет списка111242"/>
    <w:uiPriority w:val="99"/>
    <w:semiHidden/>
    <w:unhideWhenUsed/>
    <w:qFormat/>
  </w:style>
  <w:style w:type="numbering" w:customStyle="1" w:styleId="4142">
    <w:name w:val="Нет списка4142"/>
    <w:uiPriority w:val="99"/>
    <w:semiHidden/>
    <w:unhideWhenUsed/>
    <w:qFormat/>
  </w:style>
  <w:style w:type="numbering" w:customStyle="1" w:styleId="13142">
    <w:name w:val="Нет списка13142"/>
    <w:uiPriority w:val="99"/>
    <w:semiHidden/>
    <w:unhideWhenUsed/>
    <w:qFormat/>
  </w:style>
  <w:style w:type="numbering" w:customStyle="1" w:styleId="22142">
    <w:name w:val="Нет списка22142"/>
    <w:uiPriority w:val="99"/>
    <w:semiHidden/>
    <w:unhideWhenUsed/>
    <w:qFormat/>
  </w:style>
  <w:style w:type="numbering" w:customStyle="1" w:styleId="112142">
    <w:name w:val="Нет списка112142"/>
    <w:uiPriority w:val="99"/>
    <w:semiHidden/>
    <w:unhideWhenUsed/>
    <w:qFormat/>
  </w:style>
  <w:style w:type="numbering" w:customStyle="1" w:styleId="31142">
    <w:name w:val="Нет списка31142"/>
    <w:uiPriority w:val="99"/>
    <w:semiHidden/>
    <w:unhideWhenUsed/>
    <w:qFormat/>
  </w:style>
  <w:style w:type="numbering" w:customStyle="1" w:styleId="121142">
    <w:name w:val="Нет списка121142"/>
    <w:uiPriority w:val="99"/>
    <w:semiHidden/>
    <w:unhideWhenUsed/>
    <w:qFormat/>
  </w:style>
  <w:style w:type="numbering" w:customStyle="1" w:styleId="211142">
    <w:name w:val="Нет списка211142"/>
    <w:uiPriority w:val="99"/>
    <w:semiHidden/>
    <w:unhideWhenUsed/>
    <w:qFormat/>
  </w:style>
  <w:style w:type="numbering" w:customStyle="1" w:styleId="11111142">
    <w:name w:val="Нет списка11111142"/>
    <w:uiPriority w:val="99"/>
    <w:semiHidden/>
    <w:unhideWhenUsed/>
    <w:qFormat/>
  </w:style>
  <w:style w:type="numbering" w:customStyle="1" w:styleId="652">
    <w:name w:val="Нет списка652"/>
    <w:uiPriority w:val="99"/>
    <w:semiHidden/>
    <w:unhideWhenUsed/>
    <w:qFormat/>
  </w:style>
  <w:style w:type="numbering" w:customStyle="1" w:styleId="1542">
    <w:name w:val="Нет списка1542"/>
    <w:uiPriority w:val="99"/>
    <w:semiHidden/>
    <w:unhideWhenUsed/>
    <w:qFormat/>
  </w:style>
  <w:style w:type="numbering" w:customStyle="1" w:styleId="2442">
    <w:name w:val="Нет списка2442"/>
    <w:uiPriority w:val="99"/>
    <w:semiHidden/>
    <w:unhideWhenUsed/>
    <w:qFormat/>
  </w:style>
  <w:style w:type="numbering" w:customStyle="1" w:styleId="11442">
    <w:name w:val="Нет списка11442"/>
    <w:uiPriority w:val="99"/>
    <w:semiHidden/>
    <w:unhideWhenUsed/>
    <w:qFormat/>
  </w:style>
  <w:style w:type="numbering" w:customStyle="1" w:styleId="3342">
    <w:name w:val="Нет списка3342"/>
    <w:uiPriority w:val="99"/>
    <w:semiHidden/>
    <w:unhideWhenUsed/>
    <w:qFormat/>
  </w:style>
  <w:style w:type="numbering" w:customStyle="1" w:styleId="12342">
    <w:name w:val="Нет списка12342"/>
    <w:uiPriority w:val="99"/>
    <w:semiHidden/>
    <w:unhideWhenUsed/>
    <w:qFormat/>
  </w:style>
  <w:style w:type="numbering" w:customStyle="1" w:styleId="21342">
    <w:name w:val="Нет списка21342"/>
    <w:uiPriority w:val="99"/>
    <w:semiHidden/>
    <w:unhideWhenUsed/>
    <w:qFormat/>
  </w:style>
  <w:style w:type="numbering" w:customStyle="1" w:styleId="111342">
    <w:name w:val="Нет списка111342"/>
    <w:uiPriority w:val="99"/>
    <w:semiHidden/>
    <w:unhideWhenUsed/>
    <w:qFormat/>
  </w:style>
  <w:style w:type="numbering" w:customStyle="1" w:styleId="4242">
    <w:name w:val="Нет списка4242"/>
    <w:uiPriority w:val="99"/>
    <w:semiHidden/>
    <w:unhideWhenUsed/>
    <w:qFormat/>
  </w:style>
  <w:style w:type="numbering" w:customStyle="1" w:styleId="13242">
    <w:name w:val="Нет списка13242"/>
    <w:uiPriority w:val="99"/>
    <w:semiHidden/>
    <w:unhideWhenUsed/>
    <w:qFormat/>
  </w:style>
  <w:style w:type="numbering" w:customStyle="1" w:styleId="22242">
    <w:name w:val="Нет списка22242"/>
    <w:uiPriority w:val="99"/>
    <w:semiHidden/>
    <w:unhideWhenUsed/>
    <w:qFormat/>
  </w:style>
  <w:style w:type="numbering" w:customStyle="1" w:styleId="112242">
    <w:name w:val="Нет списка112242"/>
    <w:uiPriority w:val="99"/>
    <w:semiHidden/>
    <w:unhideWhenUsed/>
    <w:qFormat/>
  </w:style>
  <w:style w:type="numbering" w:customStyle="1" w:styleId="31242">
    <w:name w:val="Нет списка31242"/>
    <w:uiPriority w:val="99"/>
    <w:semiHidden/>
    <w:unhideWhenUsed/>
    <w:qFormat/>
  </w:style>
  <w:style w:type="numbering" w:customStyle="1" w:styleId="121242">
    <w:name w:val="Нет списка121242"/>
    <w:uiPriority w:val="99"/>
    <w:semiHidden/>
    <w:unhideWhenUsed/>
    <w:qFormat/>
  </w:style>
  <w:style w:type="numbering" w:customStyle="1" w:styleId="211242">
    <w:name w:val="Нет списка211242"/>
    <w:uiPriority w:val="99"/>
    <w:semiHidden/>
    <w:unhideWhenUsed/>
    <w:qFormat/>
  </w:style>
  <w:style w:type="numbering" w:customStyle="1" w:styleId="1111242">
    <w:name w:val="Нет списка1111242"/>
    <w:uiPriority w:val="99"/>
    <w:semiHidden/>
    <w:unhideWhenUsed/>
    <w:qFormat/>
  </w:style>
  <w:style w:type="numbering" w:customStyle="1" w:styleId="5142">
    <w:name w:val="Нет списка5142"/>
    <w:uiPriority w:val="99"/>
    <w:semiHidden/>
    <w:unhideWhenUsed/>
    <w:qFormat/>
  </w:style>
  <w:style w:type="numbering" w:customStyle="1" w:styleId="6142">
    <w:name w:val="Нет списка6142"/>
    <w:uiPriority w:val="99"/>
    <w:semiHidden/>
    <w:unhideWhenUsed/>
    <w:qFormat/>
  </w:style>
  <w:style w:type="numbering" w:customStyle="1" w:styleId="732">
    <w:name w:val="Нет списка732"/>
    <w:uiPriority w:val="99"/>
    <w:semiHidden/>
    <w:unhideWhenUsed/>
    <w:qFormat/>
  </w:style>
  <w:style w:type="numbering" w:customStyle="1" w:styleId="1632">
    <w:name w:val="Нет списка1632"/>
    <w:uiPriority w:val="99"/>
    <w:semiHidden/>
    <w:unhideWhenUsed/>
    <w:qFormat/>
  </w:style>
  <w:style w:type="numbering" w:customStyle="1" w:styleId="11532">
    <w:name w:val="Нет списка11532"/>
    <w:uiPriority w:val="99"/>
    <w:semiHidden/>
    <w:unhideWhenUsed/>
    <w:qFormat/>
  </w:style>
  <w:style w:type="numbering" w:customStyle="1" w:styleId="2532">
    <w:name w:val="Нет списка2532"/>
    <w:uiPriority w:val="99"/>
    <w:semiHidden/>
    <w:unhideWhenUsed/>
    <w:qFormat/>
  </w:style>
  <w:style w:type="numbering" w:customStyle="1" w:styleId="111432">
    <w:name w:val="Нет списка111432"/>
    <w:uiPriority w:val="99"/>
    <w:semiHidden/>
    <w:unhideWhenUsed/>
    <w:qFormat/>
  </w:style>
  <w:style w:type="numbering" w:customStyle="1" w:styleId="3432">
    <w:name w:val="Нет списка3432"/>
    <w:uiPriority w:val="99"/>
    <w:semiHidden/>
    <w:unhideWhenUsed/>
    <w:qFormat/>
  </w:style>
  <w:style w:type="numbering" w:customStyle="1" w:styleId="12432">
    <w:name w:val="Нет списка12432"/>
    <w:uiPriority w:val="99"/>
    <w:semiHidden/>
    <w:unhideWhenUsed/>
    <w:qFormat/>
  </w:style>
  <w:style w:type="numbering" w:customStyle="1" w:styleId="21432">
    <w:name w:val="Нет списка21432"/>
    <w:uiPriority w:val="99"/>
    <w:semiHidden/>
    <w:unhideWhenUsed/>
    <w:qFormat/>
  </w:style>
  <w:style w:type="numbering" w:customStyle="1" w:styleId="1111332">
    <w:name w:val="Нет списка1111332"/>
    <w:uiPriority w:val="99"/>
    <w:semiHidden/>
    <w:unhideWhenUsed/>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18" Type="http://schemas.openxmlformats.org/officeDocument/2006/relationships/hyperlink" Target="mailto:info@draga.ru" TargetMode="External"/><Relationship Id="rId26" Type="http://schemas.openxmlformats.org/officeDocument/2006/relationships/diagramLayout" Target="diagrams/layout1.xml"/><Relationship Id="rId39" Type="http://schemas.openxmlformats.org/officeDocument/2006/relationships/hyperlink" Target="https://www.gazprom.ru/" TargetMode="Externa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hyperlink" Target="consultantplus://offline/ref=C7B3893B3C99E3A2A15EAE82CAEBCD728FB0C474DB3CFE3DEDA91A1EAC8400A836D534127E64C69D4B95D1816FD692AB35030D5C8C0EA0C205C0J" TargetMode="External"/><Relationship Id="rId42" Type="http://schemas.openxmlformats.org/officeDocument/2006/relationships/hyperlink" Target="https://www.ogk2.ru/aktsioneram-i-investoram/otchetnost/"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tel:+7%20(499)%20550-88-18" TargetMode="External"/><Relationship Id="rId25" Type="http://schemas.openxmlformats.org/officeDocument/2006/relationships/diagramData" Target="diagrams/data1.xml"/><Relationship Id="rId33" Type="http://schemas.openxmlformats.org/officeDocument/2006/relationships/hyperlink" Target="consultantplus://offline/ref=C7B3893B3C99E3A2A15EAE82CAEBCD728FB0C474DB3CFE3DEDA91A1EAC8400A836D534127E64C6984E95D1816FD692AB35030D5C8C0EA0C205C0J" TargetMode="External"/><Relationship Id="rId38" Type="http://schemas.openxmlformats.org/officeDocument/2006/relationships/hyperlink" Target="consultantplus://offline/ref=C7B3893B3C99E3A2A15EAE82CAEBCD728FB0C474DB3CFE3DEDA91A1EAC8400A836D534127E64C09F4895D1816FD692AB35030D5C8C0EA0C205C0J" TargetMode="External"/><Relationship Id="rId46"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yperlink" Target="tel:+7%20(812)%20775-00-81" TargetMode="External"/><Relationship Id="rId20" Type="http://schemas.openxmlformats.org/officeDocument/2006/relationships/chart" Target="charts/chart4.xml"/><Relationship Id="rId29" Type="http://schemas.microsoft.com/office/2007/relationships/diagramDrawing" Target="diagrams/drawing1.xml"/><Relationship Id="rId41" Type="http://schemas.openxmlformats.org/officeDocument/2006/relationships/hyperlink" Target="https://www.ogk2.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3.png"/><Relationship Id="rId32" Type="http://schemas.openxmlformats.org/officeDocument/2006/relationships/footer" Target="footer5.xml"/><Relationship Id="rId37" Type="http://schemas.openxmlformats.org/officeDocument/2006/relationships/hyperlink" Target="consultantplus://offline/ref=C7B3893B3C99E3A2A15EAE82CAEBCD728FB0C474DB3CFE3DEDA91A1EAC8400A836D534127E64C1924895D1816FD692AB35030D5C8C0EA0C205C0J" TargetMode="External"/><Relationship Id="rId40" Type="http://schemas.openxmlformats.org/officeDocument/2006/relationships/hyperlink" Target="https://energoholding.gazprom.ru/" TargetMode="External"/><Relationship Id="rId45"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yperlink" Target="mailto:reception@unicon.ru" TargetMode="External"/><Relationship Id="rId23" Type="http://schemas.openxmlformats.org/officeDocument/2006/relationships/image" Target="media/image2.png"/><Relationship Id="rId28" Type="http://schemas.openxmlformats.org/officeDocument/2006/relationships/diagramColors" Target="diagrams/colors1.xml"/><Relationship Id="rId36" Type="http://schemas.openxmlformats.org/officeDocument/2006/relationships/hyperlink" Target="consultantplus://offline/ref=C7B3893B3C99E3A2A15EAE82CAEBCD728FB0C474DB3CFE3DEDA91A1EAC8400A836D534127E64C19C4295D1816FD692AB35030D5C8C0EA0C205C0J" TargetMode="External"/><Relationship Id="rId10" Type="http://schemas.openxmlformats.org/officeDocument/2006/relationships/chart" Target="charts/chart3.xml"/><Relationship Id="rId19" Type="http://schemas.openxmlformats.org/officeDocument/2006/relationships/hyperlink" Target="http://www.draga.ru/" TargetMode="External"/><Relationship Id="rId31" Type="http://schemas.openxmlformats.org/officeDocument/2006/relationships/footer" Target="footer4.xml"/><Relationship Id="rId44" Type="http://schemas.openxmlformats.org/officeDocument/2006/relationships/hyperlink" Target="mailto:Grizel.Natalya@ogk2.ru" TargetMode="Externa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oter" Target="footer3.xml"/><Relationship Id="rId22" Type="http://schemas.openxmlformats.org/officeDocument/2006/relationships/chart" Target="charts/chart6.xml"/><Relationship Id="rId27" Type="http://schemas.openxmlformats.org/officeDocument/2006/relationships/diagramQuickStyle" Target="diagrams/quickStyle1.xml"/><Relationship Id="rId30" Type="http://schemas.openxmlformats.org/officeDocument/2006/relationships/hyperlink" Target="https://www.ogk2.ru/aktsioneram-i-investoram/informatsiya-dlya-aktsionerov/dividendy/" TargetMode="External"/><Relationship Id="rId35" Type="http://schemas.openxmlformats.org/officeDocument/2006/relationships/hyperlink" Target="consultantplus://offline/ref=C7B3893B3C99E3A2A15EAE82CAEBCD728FB0C474DB3CFE3DEDA91A1EAC8400A836D534127E64C19E4895D1816FD692AB35030D5C8C0EA0C205C0J" TargetMode="External"/><Relationship Id="rId43" Type="http://schemas.openxmlformats.org/officeDocument/2006/relationships/hyperlink" Target="mailto:EgorovaEN@ogk2.ru" TargetMode="External"/><Relationship Id="rId48"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ogk2.ru/elektrostantsii/"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ru-RU" sz="900" b="0" strike="noStrike" spc="-1">
                <a:solidFill>
                  <a:srgbClr val="595959"/>
                </a:solidFill>
                <a:latin typeface="Calibri"/>
                <a:ea typeface="Arial"/>
              </a:defRPr>
            </a:pPr>
            <a:r>
              <a:rPr lang="ru-RU" sz="900" b="0" strike="noStrike" spc="-1">
                <a:solidFill>
                  <a:srgbClr val="595959"/>
                </a:solidFill>
                <a:latin typeface="Calibri"/>
                <a:ea typeface="Arial"/>
              </a:rPr>
              <a:t>Топливный баланс, %</a:t>
            </a:r>
            <a:endParaRPr lang="ru-RU"/>
          </a:p>
        </c:rich>
      </c:tx>
      <c:layout/>
      <c:overlay val="0"/>
      <c:spPr>
        <a:prstGeom prst="rect">
          <a:avLst/>
        </a:prstGeom>
        <a:noFill/>
        <a:ln w="0">
          <a:noFill/>
        </a:ln>
      </c:spPr>
    </c:title>
    <c:autoTitleDeleted val="0"/>
    <c:plotArea>
      <c:layout/>
      <c:pieChart>
        <c:varyColors val="1"/>
        <c:ser>
          <c:idx val="0"/>
          <c:order val="0"/>
          <c:tx>
            <c:strRef>
              <c:f>label 0</c:f>
              <c:strCache>
                <c:ptCount val="1"/>
                <c:pt idx="0">
                  <c:v>Ряд1</c:v>
                </c:pt>
              </c:strCache>
            </c:strRef>
          </c:tx>
          <c:spPr>
            <a:prstGeom prst="rect">
              <a:avLst/>
            </a:prstGeom>
            <a:solidFill>
              <a:srgbClr val="4472C4"/>
            </a:solidFill>
            <a:ln w="0">
              <a:noFill/>
            </a:ln>
          </c:spPr>
          <c:dPt>
            <c:idx val="0"/>
            <c:bubble3D val="0"/>
            <c:spPr>
              <a:prstGeom prst="rect">
                <a:avLst/>
              </a:prstGeom>
              <a:solidFill>
                <a:srgbClr val="4472C4"/>
              </a:solidFill>
              <a:ln w="19080">
                <a:solidFill>
                  <a:srgbClr val="FFFFFF"/>
                </a:solidFill>
                <a:round/>
              </a:ln>
            </c:spPr>
          </c:dPt>
          <c:dPt>
            <c:idx val="1"/>
            <c:bubble3D val="0"/>
            <c:spPr>
              <a:prstGeom prst="rect">
                <a:avLst/>
              </a:prstGeom>
              <a:solidFill>
                <a:srgbClr val="ED7D31"/>
              </a:solidFill>
              <a:ln w="19080">
                <a:solidFill>
                  <a:srgbClr val="FFFFFF"/>
                </a:solidFill>
                <a:round/>
              </a:ln>
            </c:spPr>
          </c:dPt>
          <c:dPt>
            <c:idx val="2"/>
            <c:bubble3D val="0"/>
            <c:spPr>
              <a:prstGeom prst="rect">
                <a:avLst/>
              </a:prstGeom>
              <a:solidFill>
                <a:srgbClr val="A5A5A5"/>
              </a:solidFill>
              <a:ln w="19080">
                <a:solidFill>
                  <a:srgbClr val="FFFFFF"/>
                </a:solidFill>
                <a:round/>
              </a:ln>
            </c:spPr>
          </c:dPt>
          <c:dLbls>
            <c:dLbl>
              <c:idx val="0"/>
              <c:layout/>
              <c:numFmt formatCode="0.00%"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ext>
              </c:extLst>
            </c:dLbl>
            <c:dLbl>
              <c:idx val="1"/>
              <c:layout/>
              <c:numFmt formatCode="0.00%"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numFmt formatCode="0.00%"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ext>
              </c:extLst>
            </c:dLbl>
            <c:numFmt formatCode="0.00%" sourceLinked="0"/>
            <c:spPr>
              <a:noFill/>
              <a:ln>
                <a:noFill/>
              </a:ln>
              <a:effectLst/>
            </c:spPr>
            <c:txPr>
              <a:bodyPr wrap="square"/>
              <a:lstStyle/>
              <a:p>
                <a:pPr>
                  <a:defRPr sz="900" b="0" strike="noStrike" spc="-1">
                    <a:solidFill>
                      <a:srgbClr val="404040"/>
                    </a:solidFill>
                    <a:latin typeface="Calibri"/>
                    <a:ea typeface="Arial"/>
                  </a:defRPr>
                </a:pPr>
                <a:endParaRPr lang="ru-RU"/>
              </a:p>
            </c:txPr>
            <c:dLblPos val="bestFit"/>
            <c:showLegendKey val="0"/>
            <c:showVal val="1"/>
            <c:showCatName val="0"/>
            <c:showSerName val="0"/>
            <c:showPercent val="0"/>
            <c:showBubbleSize val="0"/>
            <c:separator>; </c:separator>
            <c:showLeaderLines val="1"/>
            <c:extLst>
              <c:ext xmlns:c15="http://schemas.microsoft.com/office/drawing/2012/chart" uri="{CE6537A1-D6FC-4f65-9D91-7224C49458BB}"/>
            </c:extLst>
          </c:dLbls>
          <c:cat>
            <c:strRef>
              <c:f>categories</c:f>
              <c:strCache>
                <c:ptCount val="3"/>
                <c:pt idx="0">
                  <c:v>газ</c:v>
                </c:pt>
                <c:pt idx="1">
                  <c:v>уголь</c:v>
                </c:pt>
                <c:pt idx="2">
                  <c:v>мазут+ДТ</c:v>
                </c:pt>
              </c:strCache>
            </c:strRef>
          </c:cat>
          <c:val>
            <c:numRef>
              <c:f>0</c:f>
              <c:numCache>
                <c:formatCode>General</c:formatCode>
                <c:ptCount val="3"/>
                <c:pt idx="0">
                  <c:v>0.90429999999999999</c:v>
                </c:pt>
                <c:pt idx="1">
                  <c:v>9.5299999999999996E-2</c:v>
                </c:pt>
                <c:pt idx="2">
                  <c:v>4.0000000000000002E-4</c:v>
                </c:pt>
              </c:numCache>
            </c:numRef>
          </c:val>
        </c:ser>
        <c:dLbls>
          <c:showLegendKey val="0"/>
          <c:showVal val="0"/>
          <c:showCatName val="0"/>
          <c:showSerName val="0"/>
          <c:showPercent val="0"/>
          <c:showBubbleSize val="0"/>
          <c:showLeaderLines val="1"/>
        </c:dLbls>
        <c:firstSliceAng val="0"/>
      </c:pieChart>
      <c:spPr>
        <a:prstGeom prst="rect">
          <a:avLst/>
        </a:prstGeom>
        <a:noFill/>
        <a:ln w="0">
          <a:noFill/>
        </a:ln>
      </c:spPr>
    </c:plotArea>
    <c:legend>
      <c:legendPos val="b"/>
      <c:layout/>
      <c:overlay val="0"/>
      <c:spPr>
        <a:prstGeom prst="rect">
          <a:avLst/>
        </a:prstGeom>
        <a:noFill/>
        <a:ln w="0">
          <a:noFill/>
        </a:ln>
      </c:spPr>
      <c:txPr>
        <a:bodyPr/>
        <a:lstStyle/>
        <a:p>
          <a:pPr>
            <a:defRPr sz="900" b="0" strike="noStrike" spc="-1">
              <a:solidFill>
                <a:srgbClr val="595959"/>
              </a:solidFill>
              <a:latin typeface="Calibri"/>
              <a:ea typeface="Arial"/>
            </a:defRPr>
          </a:pPr>
          <a:endParaRPr lang="ru-RU"/>
        </a:p>
      </c:txPr>
    </c:legend>
    <c:plotVisOnly val="1"/>
    <c:dispBlanksAs val="gap"/>
    <c:showDLblsOverMax val="0"/>
  </c:chart>
  <c:spPr>
    <a:prstGeom prst="rect">
      <a:avLst/>
    </a:prstGeom>
    <a:solidFill>
      <a:srgbClr val="FFFFFF"/>
    </a:solidFill>
    <a:ln w="9360">
      <a:solidFill>
        <a:srgbClr val="D9D9D9"/>
      </a:solidFill>
      <a:round/>
    </a:ln>
  </c:spPr>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ru-RU" sz="900" b="0" strike="noStrike" spc="-1">
                <a:solidFill>
                  <a:srgbClr val="595959"/>
                </a:solidFill>
                <a:latin typeface="Calibri"/>
                <a:ea typeface="Arial"/>
              </a:defRPr>
            </a:pPr>
            <a:r>
              <a:rPr lang="ru-RU" sz="900" b="0" strike="noStrike" spc="-1">
                <a:solidFill>
                  <a:srgbClr val="595959"/>
                </a:solidFill>
                <a:latin typeface="Calibri"/>
                <a:ea typeface="Arial"/>
              </a:rPr>
              <a:t>Выработка и потребление электроэнергии в ЕЭС России, млрд кВт·ч</a:t>
            </a:r>
            <a:endParaRPr lang="ru-RU"/>
          </a:p>
        </c:rich>
      </c:tx>
      <c:layout/>
      <c:overlay val="0"/>
      <c:spPr>
        <a:prstGeom prst="rect">
          <a:avLst/>
        </a:prstGeom>
        <a:noFill/>
        <a:ln w="0">
          <a:noFill/>
        </a:ln>
      </c:spPr>
    </c:title>
    <c:autoTitleDeleted val="0"/>
    <c:plotArea>
      <c:layout/>
      <c:barChart>
        <c:barDir val="col"/>
        <c:grouping val="clustered"/>
        <c:varyColors val="0"/>
        <c:ser>
          <c:idx val="0"/>
          <c:order val="0"/>
          <c:tx>
            <c:strRef>
              <c:f>label 0</c:f>
              <c:strCache>
                <c:ptCount val="1"/>
                <c:pt idx="0">
                  <c:v>Выработка ЭЭ</c:v>
                </c:pt>
              </c:strCache>
            </c:strRef>
          </c:tx>
          <c:spPr>
            <a:prstGeom prst="rect">
              <a:avLst/>
            </a:prstGeom>
            <a:solidFill>
              <a:srgbClr val="4472C4"/>
            </a:solidFill>
            <a:ln w="0">
              <a:noFill/>
            </a:ln>
          </c:spPr>
          <c:invertIfNegative val="0"/>
          <c:dLbls>
            <c:numFmt formatCode="General" sourceLinked="0"/>
            <c:spPr>
              <a:noFill/>
              <a:ln>
                <a:noFill/>
              </a:ln>
              <a:effectLst/>
            </c:spPr>
            <c:txPr>
              <a:bodyPr wrap="square"/>
              <a:lstStyle/>
              <a:p>
                <a:pPr>
                  <a:defRPr sz="900" b="0" strike="noStrike" spc="-1">
                    <a:solidFill>
                      <a:srgbClr val="404040"/>
                    </a:solidFill>
                    <a:latin typeface="Calibri"/>
                    <a:ea typeface="Arial"/>
                  </a:defRPr>
                </a:pPr>
                <a:endParaRPr lang="ru-RU"/>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layout/>
                <c15:showLeaderLines val="0"/>
              </c:ext>
            </c:extLst>
          </c:dLbls>
          <c:cat>
            <c:strRef>
              <c:f>categories</c:f>
              <c:strCache>
                <c:ptCount val="2"/>
                <c:pt idx="0">
                  <c:v>2022</c:v>
                </c:pt>
                <c:pt idx="1">
                  <c:v>2023</c:v>
                </c:pt>
              </c:strCache>
            </c:strRef>
          </c:cat>
          <c:val>
            <c:numRef>
              <c:f>0</c:f>
              <c:numCache>
                <c:formatCode>General</c:formatCode>
                <c:ptCount val="2"/>
                <c:pt idx="0">
                  <c:v>1121.5999999999999</c:v>
                </c:pt>
                <c:pt idx="1">
                  <c:v>1134</c:v>
                </c:pt>
              </c:numCache>
            </c:numRef>
          </c:val>
        </c:ser>
        <c:ser>
          <c:idx val="1"/>
          <c:order val="1"/>
          <c:tx>
            <c:strRef>
              <c:f>label 1</c:f>
              <c:strCache>
                <c:ptCount val="1"/>
                <c:pt idx="0">
                  <c:v>Потребление ЭЭ</c:v>
                </c:pt>
              </c:strCache>
            </c:strRef>
          </c:tx>
          <c:spPr>
            <a:prstGeom prst="rect">
              <a:avLst/>
            </a:prstGeom>
            <a:solidFill>
              <a:srgbClr val="ED7D31"/>
            </a:solidFill>
            <a:ln w="0">
              <a:noFill/>
            </a:ln>
          </c:spPr>
          <c:invertIfNegative val="0"/>
          <c:dLbls>
            <c:numFmt formatCode="General" sourceLinked="0"/>
            <c:spPr>
              <a:noFill/>
              <a:ln>
                <a:noFill/>
              </a:ln>
              <a:effectLst/>
            </c:spPr>
            <c:txPr>
              <a:bodyPr wrap="square"/>
              <a:lstStyle/>
              <a:p>
                <a:pPr>
                  <a:defRPr sz="900" b="0" strike="noStrike" spc="-1">
                    <a:solidFill>
                      <a:srgbClr val="404040"/>
                    </a:solidFill>
                    <a:latin typeface="Calibri"/>
                    <a:ea typeface="Arial"/>
                  </a:defRPr>
                </a:pPr>
                <a:endParaRPr lang="ru-RU"/>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layout/>
                <c15:showLeaderLines val="0"/>
              </c:ext>
            </c:extLst>
          </c:dLbls>
          <c:cat>
            <c:strRef>
              <c:f>categories</c:f>
              <c:strCache>
                <c:ptCount val="2"/>
                <c:pt idx="0">
                  <c:v>2022</c:v>
                </c:pt>
                <c:pt idx="1">
                  <c:v>2023</c:v>
                </c:pt>
              </c:strCache>
            </c:strRef>
          </c:cat>
          <c:val>
            <c:numRef>
              <c:f>1</c:f>
              <c:numCache>
                <c:formatCode>General</c:formatCode>
                <c:ptCount val="2"/>
                <c:pt idx="0">
                  <c:v>1106.3</c:v>
                </c:pt>
                <c:pt idx="1">
                  <c:v>1121.5999999999999</c:v>
                </c:pt>
              </c:numCache>
            </c:numRef>
          </c:val>
        </c:ser>
        <c:dLbls>
          <c:showLegendKey val="0"/>
          <c:showVal val="0"/>
          <c:showCatName val="0"/>
          <c:showSerName val="0"/>
          <c:showPercent val="0"/>
          <c:showBubbleSize val="0"/>
        </c:dLbls>
        <c:gapWidth val="219"/>
        <c:overlap val="-27"/>
        <c:axId val="564462064"/>
        <c:axId val="564462848"/>
      </c:barChart>
      <c:catAx>
        <c:axId val="564462064"/>
        <c:scaling>
          <c:orientation val="minMax"/>
        </c:scaling>
        <c:delete val="0"/>
        <c:axPos val="b"/>
        <c:numFmt formatCode="General" sourceLinked="0"/>
        <c:majorTickMark val="none"/>
        <c:minorTickMark val="none"/>
        <c:tickLblPos val="nextTo"/>
        <c:spPr>
          <a:prstGeom prst="rect">
            <a:avLst/>
          </a:prstGeom>
          <a:ln w="9360">
            <a:solidFill>
              <a:srgbClr val="D9D9D9"/>
            </a:solidFill>
            <a:round/>
          </a:ln>
        </c:spPr>
        <c:txPr>
          <a:bodyPr/>
          <a:lstStyle/>
          <a:p>
            <a:pPr>
              <a:defRPr sz="900" b="0" strike="noStrike" spc="-1">
                <a:solidFill>
                  <a:srgbClr val="595959"/>
                </a:solidFill>
                <a:latin typeface="Calibri"/>
                <a:ea typeface="Arial"/>
              </a:defRPr>
            </a:pPr>
            <a:endParaRPr lang="ru-RU"/>
          </a:p>
        </c:txPr>
        <c:crossAx val="564462848"/>
        <c:crosses val="autoZero"/>
        <c:auto val="1"/>
        <c:lblAlgn val="ctr"/>
        <c:lblOffset val="100"/>
        <c:noMultiLvlLbl val="0"/>
      </c:catAx>
      <c:valAx>
        <c:axId val="564462848"/>
        <c:scaling>
          <c:orientation val="minMax"/>
        </c:scaling>
        <c:delete val="0"/>
        <c:axPos val="l"/>
        <c:majorGridlines>
          <c:spPr>
            <a:prstGeom prst="rect">
              <a:avLst/>
            </a:prstGeom>
            <a:ln w="9360">
              <a:solidFill>
                <a:srgbClr val="D9D9D9"/>
              </a:solidFill>
              <a:round/>
            </a:ln>
          </c:spPr>
        </c:majorGridlines>
        <c:numFmt formatCode="General" sourceLinked="0"/>
        <c:majorTickMark val="none"/>
        <c:minorTickMark val="none"/>
        <c:tickLblPos val="nextTo"/>
        <c:spPr>
          <a:prstGeom prst="rect">
            <a:avLst/>
          </a:prstGeom>
          <a:ln w="6480">
            <a:noFill/>
          </a:ln>
        </c:spPr>
        <c:txPr>
          <a:bodyPr/>
          <a:lstStyle/>
          <a:p>
            <a:pPr>
              <a:defRPr sz="900" b="0" strike="noStrike" spc="-1">
                <a:solidFill>
                  <a:srgbClr val="595959"/>
                </a:solidFill>
                <a:latin typeface="Calibri"/>
                <a:ea typeface="Arial"/>
              </a:defRPr>
            </a:pPr>
            <a:endParaRPr lang="ru-RU"/>
          </a:p>
        </c:txPr>
        <c:crossAx val="564462064"/>
        <c:crosses val="autoZero"/>
        <c:crossBetween val="between"/>
      </c:valAx>
      <c:spPr>
        <a:prstGeom prst="rect">
          <a:avLst/>
        </a:prstGeom>
        <a:noFill/>
        <a:ln w="0">
          <a:noFill/>
        </a:ln>
      </c:spPr>
    </c:plotArea>
    <c:legend>
      <c:legendPos val="b"/>
      <c:layout/>
      <c:overlay val="0"/>
      <c:spPr>
        <a:prstGeom prst="rect">
          <a:avLst/>
        </a:prstGeom>
        <a:noFill/>
        <a:ln w="0">
          <a:noFill/>
        </a:ln>
      </c:spPr>
      <c:txPr>
        <a:bodyPr/>
        <a:lstStyle/>
        <a:p>
          <a:pPr>
            <a:defRPr sz="900" b="0" strike="noStrike" spc="-1">
              <a:solidFill>
                <a:srgbClr val="595959"/>
              </a:solidFill>
              <a:latin typeface="Calibri"/>
              <a:ea typeface="Arial"/>
            </a:defRPr>
          </a:pPr>
          <a:endParaRPr lang="ru-RU"/>
        </a:p>
      </c:txPr>
    </c:legend>
    <c:plotVisOnly val="1"/>
    <c:dispBlanksAs val="gap"/>
    <c:showDLblsOverMax val="0"/>
  </c:chart>
  <c:spPr>
    <a:prstGeom prst="rect">
      <a:avLst/>
    </a:prstGeom>
    <a:solidFill>
      <a:srgbClr val="FFFFFF"/>
    </a:solidFill>
    <a:ln w="9360">
      <a:solidFill>
        <a:srgbClr val="D9D9D9"/>
      </a:solidFill>
      <a:round/>
    </a:ln>
  </c:sp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ru-RU" sz="900" b="0" strike="noStrike" spc="-1">
                <a:solidFill>
                  <a:srgbClr val="595959"/>
                </a:solidFill>
                <a:latin typeface="Calibri"/>
                <a:ea typeface="Arial"/>
              </a:defRPr>
            </a:pPr>
            <a:r>
              <a:rPr lang="ru-RU" sz="900" b="0" strike="noStrike" spc="-1">
                <a:solidFill>
                  <a:srgbClr val="595959"/>
                </a:solidFill>
                <a:latin typeface="Calibri"/>
                <a:ea typeface="Arial"/>
              </a:rPr>
              <a:t>Структура установленной мощности ЕЭС России на 31.12.2023, МВт</a:t>
            </a:r>
            <a:endParaRPr lang="ru-RU"/>
          </a:p>
        </c:rich>
      </c:tx>
      <c:layout/>
      <c:overlay val="0"/>
      <c:spPr>
        <a:prstGeom prst="rect">
          <a:avLst/>
        </a:prstGeom>
        <a:noFill/>
        <a:ln w="0">
          <a:noFill/>
        </a:ln>
      </c:spPr>
    </c:title>
    <c:autoTitleDeleted val="0"/>
    <c:plotArea>
      <c:layout/>
      <c:pieChart>
        <c:varyColors val="1"/>
        <c:ser>
          <c:idx val="0"/>
          <c:order val="0"/>
          <c:tx>
            <c:strRef>
              <c:f>label 0</c:f>
              <c:strCache>
                <c:ptCount val="1"/>
                <c:pt idx="0">
                  <c:v>Ряд1</c:v>
                </c:pt>
              </c:strCache>
            </c:strRef>
          </c:tx>
          <c:spPr>
            <a:prstGeom prst="rect">
              <a:avLst/>
            </a:prstGeom>
            <a:solidFill>
              <a:srgbClr val="4472C4"/>
            </a:solidFill>
            <a:ln w="0">
              <a:noFill/>
            </a:ln>
          </c:spPr>
          <c:dPt>
            <c:idx val="0"/>
            <c:bubble3D val="0"/>
            <c:spPr>
              <a:prstGeom prst="rect">
                <a:avLst/>
              </a:prstGeom>
              <a:solidFill>
                <a:srgbClr val="4472C4"/>
              </a:solidFill>
              <a:ln w="19080">
                <a:solidFill>
                  <a:srgbClr val="FFFFFF"/>
                </a:solidFill>
                <a:round/>
              </a:ln>
            </c:spPr>
          </c:dPt>
          <c:dPt>
            <c:idx val="1"/>
            <c:bubble3D val="0"/>
            <c:spPr>
              <a:prstGeom prst="rect">
                <a:avLst/>
              </a:prstGeom>
              <a:solidFill>
                <a:srgbClr val="ED7D31"/>
              </a:solidFill>
              <a:ln w="19080">
                <a:solidFill>
                  <a:srgbClr val="FFFFFF"/>
                </a:solidFill>
                <a:round/>
              </a:ln>
            </c:spPr>
          </c:dPt>
          <c:dPt>
            <c:idx val="2"/>
            <c:bubble3D val="0"/>
            <c:spPr>
              <a:prstGeom prst="rect">
                <a:avLst/>
              </a:prstGeom>
              <a:solidFill>
                <a:srgbClr val="A5A5A5"/>
              </a:solidFill>
              <a:ln w="19080">
                <a:solidFill>
                  <a:srgbClr val="FFFFFF"/>
                </a:solidFill>
                <a:round/>
              </a:ln>
            </c:spPr>
          </c:dPt>
          <c:dPt>
            <c:idx val="3"/>
            <c:bubble3D val="0"/>
            <c:spPr>
              <a:prstGeom prst="rect">
                <a:avLst/>
              </a:prstGeom>
              <a:solidFill>
                <a:srgbClr val="FFC000"/>
              </a:solidFill>
              <a:ln w="19080">
                <a:solidFill>
                  <a:srgbClr val="FFFFFF"/>
                </a:solidFill>
                <a:round/>
              </a:ln>
            </c:spPr>
          </c:dPt>
          <c:dLbls>
            <c:dLbl>
              <c:idx val="0"/>
              <c:layout/>
              <c:numFmt formatCode="#,##0"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ext>
              </c:extLst>
            </c:dLbl>
            <c:dLbl>
              <c:idx val="1"/>
              <c:layout/>
              <c:numFmt formatCode="#,##0"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numFmt formatCode="#,##0"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ext>
              </c:extLst>
            </c:dLbl>
            <c:dLbl>
              <c:idx val="3"/>
              <c:layout/>
              <c:numFmt formatCode="#,##0"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ext>
              </c:extLst>
            </c:dLbl>
            <c:numFmt formatCode="#,##0" sourceLinked="0"/>
            <c:spPr>
              <a:noFill/>
              <a:ln>
                <a:noFill/>
              </a:ln>
              <a:effectLst/>
            </c:spPr>
            <c:txPr>
              <a:bodyPr wrap="square"/>
              <a:lstStyle/>
              <a:p>
                <a:pPr>
                  <a:defRPr sz="900" b="0" strike="noStrike" spc="-1">
                    <a:solidFill>
                      <a:srgbClr val="404040"/>
                    </a:solidFill>
                    <a:latin typeface="Calibri"/>
                    <a:ea typeface="Arial"/>
                  </a:defRPr>
                </a:pPr>
                <a:endParaRPr lang="ru-RU"/>
              </a:p>
            </c:txPr>
            <c:dLblPos val="bestFit"/>
            <c:showLegendKey val="0"/>
            <c:showVal val="1"/>
            <c:showCatName val="0"/>
            <c:showSerName val="0"/>
            <c:showPercent val="0"/>
            <c:showBubbleSize val="0"/>
            <c:separator>; </c:separator>
            <c:showLeaderLines val="1"/>
            <c:extLst>
              <c:ext xmlns:c15="http://schemas.microsoft.com/office/drawing/2012/chart" uri="{CE6537A1-D6FC-4f65-9D91-7224C49458BB}"/>
            </c:extLst>
          </c:dLbls>
          <c:cat>
            <c:strRef>
              <c:f>categories</c:f>
              <c:strCache>
                <c:ptCount val="4"/>
                <c:pt idx="0">
                  <c:v>ТЭС</c:v>
                </c:pt>
                <c:pt idx="1">
                  <c:v>ГЭС</c:v>
                </c:pt>
                <c:pt idx="2">
                  <c:v>АЭС</c:v>
                </c:pt>
                <c:pt idx="3">
                  <c:v>ВЭС и СЭС</c:v>
                </c:pt>
              </c:strCache>
            </c:strRef>
          </c:cat>
          <c:val>
            <c:numRef>
              <c:f>0</c:f>
              <c:numCache>
                <c:formatCode>General</c:formatCode>
                <c:ptCount val="4"/>
                <c:pt idx="0">
                  <c:v>163711.96</c:v>
                </c:pt>
                <c:pt idx="1">
                  <c:v>50222.58</c:v>
                </c:pt>
                <c:pt idx="2">
                  <c:v>29542.99</c:v>
                </c:pt>
                <c:pt idx="3">
                  <c:v>4687.3500000000004</c:v>
                </c:pt>
              </c:numCache>
            </c:numRef>
          </c:val>
        </c:ser>
        <c:dLbls>
          <c:showLegendKey val="0"/>
          <c:showVal val="0"/>
          <c:showCatName val="0"/>
          <c:showSerName val="0"/>
          <c:showPercent val="0"/>
          <c:showBubbleSize val="0"/>
          <c:showLeaderLines val="1"/>
        </c:dLbls>
        <c:firstSliceAng val="0"/>
      </c:pieChart>
      <c:spPr>
        <a:prstGeom prst="rect">
          <a:avLst/>
        </a:prstGeom>
        <a:noFill/>
        <a:ln w="0">
          <a:noFill/>
        </a:ln>
      </c:spPr>
    </c:plotArea>
    <c:legend>
      <c:legendPos val="b"/>
      <c:layout/>
      <c:overlay val="0"/>
      <c:spPr>
        <a:prstGeom prst="rect">
          <a:avLst/>
        </a:prstGeom>
        <a:noFill/>
        <a:ln w="0">
          <a:noFill/>
        </a:ln>
      </c:spPr>
      <c:txPr>
        <a:bodyPr/>
        <a:lstStyle/>
        <a:p>
          <a:pPr>
            <a:defRPr sz="900" b="0" strike="noStrike" spc="-1">
              <a:solidFill>
                <a:srgbClr val="595959"/>
              </a:solidFill>
              <a:latin typeface="Calibri"/>
              <a:ea typeface="Arial"/>
            </a:defRPr>
          </a:pPr>
          <a:endParaRPr lang="ru-RU"/>
        </a:p>
      </c:txPr>
    </c:legend>
    <c:plotVisOnly val="1"/>
    <c:dispBlanksAs val="gap"/>
    <c:showDLblsOverMax val="0"/>
  </c:chart>
  <c:spPr>
    <a:prstGeom prst="rect">
      <a:avLst/>
    </a:prstGeom>
    <a:solidFill>
      <a:srgbClr val="FFFFFF"/>
    </a:solidFill>
    <a:ln w="9360">
      <a:solidFill>
        <a:srgbClr val="D9D9D9"/>
      </a:solidFill>
      <a:round/>
    </a:ln>
  </c:spPr>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ru-RU" sz="1400" b="0" strike="noStrike" spc="-1">
                <a:solidFill>
                  <a:srgbClr val="595959"/>
                </a:solidFill>
                <a:latin typeface="Times New Roman"/>
                <a:ea typeface="Arial"/>
              </a:defRPr>
            </a:pPr>
            <a:r>
              <a:rPr lang="ru-RU" sz="1400" b="0" strike="noStrike" spc="-1">
                <a:solidFill>
                  <a:srgbClr val="595959"/>
                </a:solidFill>
                <a:latin typeface="Times New Roman"/>
                <a:ea typeface="Arial"/>
              </a:rPr>
              <a:t>Динамика изменения КИУМ электрический, %</a:t>
            </a:r>
            <a:endParaRPr lang="ru-RU"/>
          </a:p>
        </c:rich>
      </c:tx>
      <c:layout/>
      <c:overlay val="0"/>
      <c:spPr>
        <a:prstGeom prst="rect">
          <a:avLst/>
        </a:prstGeom>
        <a:noFill/>
        <a:ln w="0">
          <a:noFill/>
        </a:ln>
      </c:spPr>
    </c:title>
    <c:autoTitleDeleted val="0"/>
    <c:plotArea>
      <c:layout>
        <c:manualLayout>
          <c:layoutTarget val="inner"/>
          <c:xMode val="edge"/>
          <c:yMode val="edge"/>
          <c:x val="0.24056250000000001"/>
          <c:y val="0.113444444444444"/>
          <c:w val="0.73531250000000004"/>
          <c:h val="0.81933333333333302"/>
        </c:manualLayout>
      </c:layout>
      <c:barChart>
        <c:barDir val="bar"/>
        <c:grouping val="clustered"/>
        <c:varyColors val="0"/>
        <c:ser>
          <c:idx val="0"/>
          <c:order val="0"/>
          <c:tx>
            <c:strRef>
              <c:f>label 0</c:f>
              <c:strCache>
                <c:ptCount val="1"/>
                <c:pt idx="0">
                  <c:v>2021</c:v>
                </c:pt>
              </c:strCache>
            </c:strRef>
          </c:tx>
          <c:spPr>
            <a:prstGeom prst="rect">
              <a:avLst/>
            </a:prstGeom>
            <a:solidFill>
              <a:srgbClr val="9DC3E6"/>
            </a:solidFill>
            <a:ln w="0">
              <a:noFill/>
              <a:miter/>
            </a:ln>
          </c:spPr>
          <c:invertIfNegative val="0"/>
          <c:dPt>
            <c:idx val="0"/>
            <c:invertIfNegative val="0"/>
            <c:bubble3D val="0"/>
            <c:spPr>
              <a:prstGeom prst="rect">
                <a:avLst/>
              </a:prstGeom>
              <a:solidFill>
                <a:srgbClr val="9DC3E6"/>
              </a:solidFill>
              <a:ln w="0">
                <a:noFill/>
              </a:ln>
            </c:spPr>
          </c:dPt>
          <c:dPt>
            <c:idx val="4"/>
            <c:invertIfNegative val="0"/>
            <c:bubble3D val="0"/>
            <c:spPr>
              <a:prstGeom prst="rect">
                <a:avLst/>
              </a:prstGeom>
              <a:solidFill>
                <a:srgbClr val="9DC3E6"/>
              </a:solidFill>
              <a:ln w="0">
                <a:noFill/>
              </a:ln>
            </c:spPr>
          </c:dPt>
          <c:dPt>
            <c:idx val="5"/>
            <c:invertIfNegative val="0"/>
            <c:bubble3D val="0"/>
            <c:spPr>
              <a:prstGeom prst="rect">
                <a:avLst/>
              </a:prstGeom>
              <a:solidFill>
                <a:srgbClr val="9DC3E6"/>
              </a:solidFill>
              <a:ln w="0">
                <a:noFill/>
              </a:ln>
            </c:spPr>
          </c:dPt>
          <c:dPt>
            <c:idx val="8"/>
            <c:invertIfNegative val="0"/>
            <c:bubble3D val="0"/>
            <c:spPr>
              <a:prstGeom prst="rect">
                <a:avLst/>
              </a:prstGeom>
              <a:solidFill>
                <a:srgbClr val="9DC3E6"/>
              </a:solidFill>
              <a:ln w="0">
                <a:noFill/>
              </a:ln>
            </c:spPr>
          </c:dPt>
          <c:dPt>
            <c:idx val="9"/>
            <c:invertIfNegative val="0"/>
            <c:bubble3D val="0"/>
            <c:spPr>
              <a:prstGeom prst="rect">
                <a:avLst/>
              </a:prstGeom>
              <a:solidFill>
                <a:srgbClr val="9DC3E6"/>
              </a:solidFill>
              <a:ln w="0">
                <a:noFill/>
              </a:ln>
            </c:spPr>
          </c:dPt>
          <c:dLbls>
            <c:dLbl>
              <c:idx val="0"/>
              <c:layout>
                <c:manualLayout>
                  <c:x val="3.333E-3"/>
                  <c:y val="9.4009999999999996E-3"/>
                </c:manualLayout>
              </c:layout>
              <c:numFmt formatCode="#,##0.0" sourceLinked="0"/>
              <c:spPr/>
              <c:txPr>
                <a:bodyPr wrap="square"/>
                <a:lstStyle/>
                <a:p>
                  <a:pPr>
                    <a:defRPr sz="800" b="0" strike="noStrike" spc="-1">
                      <a:solidFill>
                        <a:srgbClr val="404040"/>
                      </a:solidFill>
                      <a:latin typeface="Times New Roman"/>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4"/>
              <c:layout>
                <c:manualLayout>
                  <c:x val="5.0000000000000001E-3"/>
                  <c:y val="9.4009999999999996E-3"/>
                </c:manualLayout>
              </c:layout>
              <c:numFmt formatCode="#,##0.0" sourceLinked="0"/>
              <c:spPr/>
              <c:txPr>
                <a:bodyPr wrap="square"/>
                <a:lstStyle/>
                <a:p>
                  <a:pPr>
                    <a:defRPr sz="800" b="0" strike="noStrike" spc="-1">
                      <a:solidFill>
                        <a:srgbClr val="404040"/>
                      </a:solidFill>
                      <a:latin typeface="Times New Roman"/>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5"/>
              <c:layout>
                <c:manualLayout>
                  <c:x val="0"/>
                  <c:y val="1.8800999999999998E-2"/>
                </c:manualLayout>
              </c:layout>
              <c:numFmt formatCode="#,##0.0" sourceLinked="0"/>
              <c:spPr/>
              <c:txPr>
                <a:bodyPr wrap="square"/>
                <a:lstStyle/>
                <a:p>
                  <a:pPr>
                    <a:defRPr sz="800" b="0" strike="noStrike" spc="-1">
                      <a:solidFill>
                        <a:srgbClr val="404040"/>
                      </a:solidFill>
                      <a:latin typeface="Times New Roman"/>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8"/>
              <c:layout>
                <c:manualLayout>
                  <c:x val="5.0000000000000001E-3"/>
                  <c:y val="3.1340000000000001E-3"/>
                </c:manualLayout>
              </c:layout>
              <c:numFmt formatCode="#,##0.0" sourceLinked="0"/>
              <c:spPr/>
              <c:txPr>
                <a:bodyPr wrap="square"/>
                <a:lstStyle/>
                <a:p>
                  <a:pPr>
                    <a:defRPr sz="800" b="0" strike="noStrike" spc="-1">
                      <a:solidFill>
                        <a:srgbClr val="404040"/>
                      </a:solidFill>
                      <a:latin typeface="Times New Roman"/>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9"/>
              <c:layout>
                <c:manualLayout>
                  <c:x val="0"/>
                  <c:y val="6.267E-3"/>
                </c:manualLayout>
              </c:layout>
              <c:numFmt formatCode="#,##0.0" sourceLinked="0"/>
              <c:spPr/>
              <c:txPr>
                <a:bodyPr wrap="square"/>
                <a:lstStyle/>
                <a:p>
                  <a:pPr>
                    <a:defRPr sz="800" b="0" strike="noStrike" spc="-1">
                      <a:solidFill>
                        <a:srgbClr val="404040"/>
                      </a:solidFill>
                      <a:latin typeface="Times New Roman"/>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numFmt formatCode="#,##0.0" sourceLinked="0"/>
            <c:spPr>
              <a:noFill/>
              <a:ln>
                <a:noFill/>
              </a:ln>
              <a:effectLst/>
            </c:spPr>
            <c:txPr>
              <a:bodyPr wrap="square"/>
              <a:lstStyle/>
              <a:p>
                <a:pPr>
                  <a:defRPr sz="800" b="0" strike="noStrike" spc="-1">
                    <a:solidFill>
                      <a:srgbClr val="404040"/>
                    </a:solidFill>
                    <a:latin typeface="Times New Roman"/>
                    <a:ea typeface="Arial"/>
                  </a:defRPr>
                </a:pPr>
                <a:endParaRPr lang="ru-RU"/>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layout/>
                <c15:showLeaderLines val="0"/>
              </c:ext>
            </c:extLst>
          </c:dLbls>
          <c:cat>
            <c:strRef>
              <c:f>categories</c:f>
              <c:strCache>
                <c:ptCount val="11"/>
                <c:pt idx="0">
                  <c:v>Сургутская ГРЭС-1</c:v>
                </c:pt>
                <c:pt idx="1">
                  <c:v>Рязанская ГРЭС</c:v>
                </c:pt>
                <c:pt idx="2">
                  <c:v>Киришская ГРЭС</c:v>
                </c:pt>
                <c:pt idx="3">
                  <c:v>Ставропольская ГРЭС</c:v>
                </c:pt>
                <c:pt idx="4">
                  <c:v>Троицкая ГРЭС</c:v>
                </c:pt>
                <c:pt idx="5">
                  <c:v>Новочеркасская ГРЭС</c:v>
                </c:pt>
                <c:pt idx="6">
                  <c:v>Череповецкая ГРЭС</c:v>
                </c:pt>
                <c:pt idx="7">
                  <c:v>Серовская ГРЭС</c:v>
                </c:pt>
                <c:pt idx="8">
                  <c:v>Псковская ГРЭС</c:v>
                </c:pt>
                <c:pt idx="9">
                  <c:v>Адлерская ТЭС</c:v>
                </c:pt>
                <c:pt idx="10">
                  <c:v>Грозненская ГРЭС</c:v>
                </c:pt>
              </c:strCache>
            </c:strRef>
          </c:cat>
          <c:val>
            <c:numRef>
              <c:f>0</c:f>
              <c:numCache>
                <c:formatCode>General</c:formatCode>
                <c:ptCount val="11"/>
                <c:pt idx="0">
                  <c:v>56.457017794245203</c:v>
                </c:pt>
                <c:pt idx="1">
                  <c:v>12.8499095716341</c:v>
                </c:pt>
                <c:pt idx="2">
                  <c:v>27.262321350382901</c:v>
                </c:pt>
                <c:pt idx="3">
                  <c:v>32.351701243034299</c:v>
                </c:pt>
                <c:pt idx="4">
                  <c:v>9.8926552156387295</c:v>
                </c:pt>
                <c:pt idx="5">
                  <c:v>43.517788921986202</c:v>
                </c:pt>
                <c:pt idx="6">
                  <c:v>25.767143987823399</c:v>
                </c:pt>
                <c:pt idx="7">
                  <c:v>76.9126305824702</c:v>
                </c:pt>
                <c:pt idx="8">
                  <c:v>3.2178334371108299</c:v>
                </c:pt>
                <c:pt idx="9">
                  <c:v>65.344350528162394</c:v>
                </c:pt>
                <c:pt idx="10">
                  <c:v>43.209313292744802</c:v>
                </c:pt>
              </c:numCache>
            </c:numRef>
          </c:val>
        </c:ser>
        <c:ser>
          <c:idx val="1"/>
          <c:order val="1"/>
          <c:tx>
            <c:strRef>
              <c:f>label 1</c:f>
              <c:strCache>
                <c:ptCount val="1"/>
                <c:pt idx="0">
                  <c:v>2022</c:v>
                </c:pt>
              </c:strCache>
            </c:strRef>
          </c:tx>
          <c:spPr>
            <a:prstGeom prst="rect">
              <a:avLst/>
            </a:prstGeom>
            <a:solidFill>
              <a:srgbClr val="F4B183"/>
            </a:solidFill>
            <a:ln w="0">
              <a:noFill/>
            </a:ln>
          </c:spPr>
          <c:invertIfNegative val="0"/>
          <c:dPt>
            <c:idx val="5"/>
            <c:invertIfNegative val="0"/>
            <c:bubble3D val="0"/>
          </c:dPt>
          <c:dPt>
            <c:idx val="6"/>
            <c:invertIfNegative val="0"/>
            <c:bubble3D val="0"/>
          </c:dPt>
          <c:dPt>
            <c:idx val="8"/>
            <c:invertIfNegative val="0"/>
            <c:bubble3D val="0"/>
          </c:dPt>
          <c:dPt>
            <c:idx val="10"/>
            <c:invertIfNegative val="0"/>
            <c:bubble3D val="0"/>
          </c:dPt>
          <c:dLbls>
            <c:dLbl>
              <c:idx val="5"/>
              <c:layout>
                <c:manualLayout>
                  <c:x val="3.333E-3"/>
                  <c:y val="9.4009999999999996E-3"/>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6"/>
              <c:layout>
                <c:manualLayout>
                  <c:x val="-1.6670000000000001E-3"/>
                  <c:y val="1.2534E-2"/>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8"/>
              <c:layout>
                <c:manualLayout>
                  <c:x val="6.6670000000000002E-3"/>
                  <c:y val="-3.1340000000000001E-3"/>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10"/>
              <c:layout>
                <c:manualLayout>
                  <c:x val="0"/>
                  <c:y val="9.4009999999999996E-3"/>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numFmt formatCode="#,##0.0" sourceLinked="0"/>
            <c:spPr>
              <a:noFill/>
              <a:ln>
                <a:noFill/>
              </a:ln>
              <a:effectLst/>
            </c:spPr>
            <c:txPr>
              <a:bodyPr wrap="square"/>
              <a:lstStyle/>
              <a:p>
                <a:pPr>
                  <a:defRPr sz="900" b="0" strike="noStrike" spc="-1">
                    <a:solidFill>
                      <a:srgbClr val="404040"/>
                    </a:solidFill>
                    <a:latin typeface="Calibri"/>
                    <a:ea typeface="Arial"/>
                  </a:defRPr>
                </a:pPr>
                <a:endParaRPr lang="ru-RU"/>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layout/>
                <c15:showLeaderLines val="0"/>
              </c:ext>
            </c:extLst>
          </c:dLbls>
          <c:cat>
            <c:strRef>
              <c:f>categories</c:f>
              <c:strCache>
                <c:ptCount val="11"/>
                <c:pt idx="0">
                  <c:v>Сургутская ГРЭС-1</c:v>
                </c:pt>
                <c:pt idx="1">
                  <c:v>Рязанская ГРЭС</c:v>
                </c:pt>
                <c:pt idx="2">
                  <c:v>Киришская ГРЭС</c:v>
                </c:pt>
                <c:pt idx="3">
                  <c:v>Ставропольская ГРЭС</c:v>
                </c:pt>
                <c:pt idx="4">
                  <c:v>Троицкая ГРЭС</c:v>
                </c:pt>
                <c:pt idx="5">
                  <c:v>Новочеркасская ГРЭС</c:v>
                </c:pt>
                <c:pt idx="6">
                  <c:v>Череповецкая ГРЭС</c:v>
                </c:pt>
                <c:pt idx="7">
                  <c:v>Серовская ГРЭС</c:v>
                </c:pt>
                <c:pt idx="8">
                  <c:v>Псковская ГРЭС</c:v>
                </c:pt>
                <c:pt idx="9">
                  <c:v>Адлерская ТЭС</c:v>
                </c:pt>
                <c:pt idx="10">
                  <c:v>Грозненская ГРЭС</c:v>
                </c:pt>
              </c:strCache>
            </c:strRef>
          </c:cat>
          <c:val>
            <c:numRef>
              <c:f>1</c:f>
              <c:numCache>
                <c:formatCode>General</c:formatCode>
                <c:ptCount val="11"/>
                <c:pt idx="0">
                  <c:v>57.780575321230799</c:v>
                </c:pt>
                <c:pt idx="1">
                  <c:v>10.279024323675401</c:v>
                </c:pt>
                <c:pt idx="2">
                  <c:v>21.778722957938999</c:v>
                </c:pt>
                <c:pt idx="3">
                  <c:v>31.401788779335</c:v>
                </c:pt>
                <c:pt idx="4">
                  <c:v>1.61811396681305</c:v>
                </c:pt>
                <c:pt idx="5">
                  <c:v>44.323823417296602</c:v>
                </c:pt>
                <c:pt idx="6">
                  <c:v>61.243376484018299</c:v>
                </c:pt>
                <c:pt idx="7">
                  <c:v>57.0078622341018</c:v>
                </c:pt>
                <c:pt idx="8">
                  <c:v>0.88265462847654597</c:v>
                </c:pt>
                <c:pt idx="9">
                  <c:v>69.676676402523199</c:v>
                </c:pt>
                <c:pt idx="10">
                  <c:v>49.814634703196297</c:v>
                </c:pt>
              </c:numCache>
            </c:numRef>
          </c:val>
        </c:ser>
        <c:ser>
          <c:idx val="2"/>
          <c:order val="2"/>
          <c:tx>
            <c:strRef>
              <c:f>label 2</c:f>
              <c:strCache>
                <c:ptCount val="1"/>
                <c:pt idx="0">
                  <c:v>2023</c:v>
                </c:pt>
              </c:strCache>
            </c:strRef>
          </c:tx>
          <c:spPr>
            <a:prstGeom prst="rect">
              <a:avLst/>
            </a:prstGeom>
            <a:solidFill>
              <a:srgbClr val="D0CECE"/>
            </a:solidFill>
            <a:ln w="0">
              <a:noFill/>
            </a:ln>
          </c:spPr>
          <c:invertIfNegative val="0"/>
          <c:dPt>
            <c:idx val="4"/>
            <c:invertIfNegative val="0"/>
            <c:bubble3D val="0"/>
          </c:dPt>
          <c:dPt>
            <c:idx val="5"/>
            <c:invertIfNegative val="0"/>
            <c:bubble3D val="0"/>
          </c:dPt>
          <c:dPt>
            <c:idx val="8"/>
            <c:invertIfNegative val="0"/>
            <c:bubble3D val="0"/>
          </c:dPt>
          <c:dPt>
            <c:idx val="9"/>
            <c:invertIfNegative val="0"/>
            <c:bubble3D val="0"/>
          </c:dPt>
          <c:dLbls>
            <c:dLbl>
              <c:idx val="4"/>
              <c:layout>
                <c:manualLayout>
                  <c:x val="6.6670000000000002E-3"/>
                  <c:y val="-9.4009999999999996E-3"/>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5"/>
              <c:layout>
                <c:manualLayout>
                  <c:x val="0"/>
                  <c:y val="-9.4009999999999996E-3"/>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8"/>
              <c:layout>
                <c:manualLayout>
                  <c:x val="0"/>
                  <c:y val="-1.5668000000000001E-2"/>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dLbl>
              <c:idx val="9"/>
              <c:layout>
                <c:manualLayout>
                  <c:x val="-1.6670000000000001E-3"/>
                  <c:y val="-1.8800999999999998E-2"/>
                </c:manualLayout>
              </c:layout>
              <c:numFmt formatCode="#,##0.0" sourceLinked="0"/>
              <c:spPr/>
              <c:txPr>
                <a:bodyPr wrap="square"/>
                <a:lstStyle/>
                <a:p>
                  <a:pPr>
                    <a:defRPr sz="900" b="0" strike="noStrike" spc="-1">
                      <a:solidFill>
                        <a:srgbClr val="404040"/>
                      </a:solidFill>
                      <a:latin typeface="Calibri"/>
                    </a:defRPr>
                  </a:pPr>
                  <a:endParaRPr lang="ru-RU"/>
                </a:p>
              </c:txPr>
              <c:dLblPos val="outEnd"/>
              <c:showLegendKey val="0"/>
              <c:showVal val="1"/>
              <c:showCatName val="0"/>
              <c:showSerName val="0"/>
              <c:showPercent val="0"/>
              <c:showBubbleSize val="0"/>
              <c:separator>; </c:separator>
              <c:extLst>
                <c:ext xmlns:c15="http://schemas.microsoft.com/office/drawing/2012/chart" uri="{CE6537A1-D6FC-4f65-9D91-7224C49458BB}">
                  <c15:layout/>
                </c:ext>
              </c:extLst>
            </c:dLbl>
            <c:numFmt formatCode="#,##0.0" sourceLinked="0"/>
            <c:spPr>
              <a:noFill/>
              <a:ln>
                <a:noFill/>
              </a:ln>
              <a:effectLst/>
            </c:spPr>
            <c:txPr>
              <a:bodyPr wrap="square"/>
              <a:lstStyle/>
              <a:p>
                <a:pPr>
                  <a:defRPr sz="900" b="0" strike="noStrike" spc="-1">
                    <a:solidFill>
                      <a:srgbClr val="404040"/>
                    </a:solidFill>
                    <a:latin typeface="Calibri"/>
                    <a:ea typeface="Arial"/>
                  </a:defRPr>
                </a:pPr>
                <a:endParaRPr lang="ru-RU"/>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layout/>
                <c15:showLeaderLines val="0"/>
              </c:ext>
            </c:extLst>
          </c:dLbls>
          <c:cat>
            <c:strRef>
              <c:f>categories</c:f>
              <c:strCache>
                <c:ptCount val="11"/>
                <c:pt idx="0">
                  <c:v>Сургутская ГРЭС-1</c:v>
                </c:pt>
                <c:pt idx="1">
                  <c:v>Рязанская ГРЭС</c:v>
                </c:pt>
                <c:pt idx="2">
                  <c:v>Киришская ГРЭС</c:v>
                </c:pt>
                <c:pt idx="3">
                  <c:v>Ставропольская ГРЭС</c:v>
                </c:pt>
                <c:pt idx="4">
                  <c:v>Троицкая ГРЭС</c:v>
                </c:pt>
                <c:pt idx="5">
                  <c:v>Новочеркасская ГРЭС</c:v>
                </c:pt>
                <c:pt idx="6">
                  <c:v>Череповецкая ГРЭС</c:v>
                </c:pt>
                <c:pt idx="7">
                  <c:v>Серовская ГРЭС</c:v>
                </c:pt>
                <c:pt idx="8">
                  <c:v>Псковская ГРЭС</c:v>
                </c:pt>
                <c:pt idx="9">
                  <c:v>Адлерская ТЭС</c:v>
                </c:pt>
                <c:pt idx="10">
                  <c:v>Грозненская ГРЭС</c:v>
                </c:pt>
              </c:strCache>
            </c:strRef>
          </c:cat>
          <c:val>
            <c:numRef>
              <c:f>2</c:f>
              <c:numCache>
                <c:formatCode>General</c:formatCode>
                <c:ptCount val="11"/>
                <c:pt idx="0">
                  <c:v>52.553952056164498</c:v>
                </c:pt>
                <c:pt idx="1">
                  <c:v>16.635961331418699</c:v>
                </c:pt>
                <c:pt idx="2">
                  <c:v>24.238077888663</c:v>
                </c:pt>
                <c:pt idx="3">
                  <c:v>43.9763649067065</c:v>
                </c:pt>
                <c:pt idx="4">
                  <c:v>2.2937091715002702</c:v>
                </c:pt>
                <c:pt idx="5">
                  <c:v>47.532173257135497</c:v>
                </c:pt>
                <c:pt idx="6">
                  <c:v>65.830854160324705</c:v>
                </c:pt>
                <c:pt idx="7">
                  <c:v>69.088098289949301</c:v>
                </c:pt>
                <c:pt idx="8">
                  <c:v>3.1288929016189302</c:v>
                </c:pt>
                <c:pt idx="9">
                  <c:v>68.364197087330297</c:v>
                </c:pt>
                <c:pt idx="10">
                  <c:v>55.312673389142603</c:v>
                </c:pt>
              </c:numCache>
            </c:numRef>
          </c:val>
        </c:ser>
        <c:dLbls>
          <c:showLegendKey val="0"/>
          <c:showVal val="0"/>
          <c:showCatName val="0"/>
          <c:showSerName val="0"/>
          <c:showPercent val="0"/>
          <c:showBubbleSize val="0"/>
        </c:dLbls>
        <c:gapWidth val="109"/>
        <c:axId val="564472648"/>
        <c:axId val="564473432"/>
      </c:barChart>
      <c:catAx>
        <c:axId val="564472648"/>
        <c:scaling>
          <c:orientation val="minMax"/>
        </c:scaling>
        <c:delete val="0"/>
        <c:axPos val="l"/>
        <c:numFmt formatCode="General" sourceLinked="0"/>
        <c:majorTickMark val="none"/>
        <c:minorTickMark val="none"/>
        <c:tickLblPos val="nextTo"/>
        <c:spPr>
          <a:prstGeom prst="rect">
            <a:avLst/>
          </a:prstGeom>
          <a:ln w="9360">
            <a:solidFill>
              <a:srgbClr val="D9D9D9"/>
            </a:solidFill>
            <a:round/>
          </a:ln>
        </c:spPr>
        <c:txPr>
          <a:bodyPr/>
          <a:lstStyle/>
          <a:p>
            <a:pPr>
              <a:defRPr sz="1000" b="0" strike="noStrike" spc="-1">
                <a:solidFill>
                  <a:srgbClr val="595959"/>
                </a:solidFill>
                <a:latin typeface="Times New Roman"/>
                <a:ea typeface="Arial"/>
              </a:defRPr>
            </a:pPr>
            <a:endParaRPr lang="ru-RU"/>
          </a:p>
        </c:txPr>
        <c:crossAx val="564473432"/>
        <c:crosses val="autoZero"/>
        <c:auto val="1"/>
        <c:lblAlgn val="ctr"/>
        <c:lblOffset val="100"/>
        <c:noMultiLvlLbl val="0"/>
      </c:catAx>
      <c:valAx>
        <c:axId val="564473432"/>
        <c:scaling>
          <c:orientation val="minMax"/>
        </c:scaling>
        <c:delete val="1"/>
        <c:axPos val="b"/>
        <c:numFmt formatCode="General" sourceLinked="1"/>
        <c:majorTickMark val="none"/>
        <c:minorTickMark val="none"/>
        <c:tickLblPos val="nextTo"/>
        <c:crossAx val="564472648"/>
        <c:crosses val="autoZero"/>
        <c:crossBetween val="between"/>
      </c:valAx>
      <c:spPr>
        <a:prstGeom prst="rect">
          <a:avLst/>
        </a:prstGeom>
        <a:noFill/>
        <a:ln w="0">
          <a:noFill/>
        </a:ln>
      </c:spPr>
    </c:plotArea>
    <c:legend>
      <c:legendPos val="b"/>
      <c:layout/>
      <c:overlay val="0"/>
      <c:spPr>
        <a:prstGeom prst="rect">
          <a:avLst/>
        </a:prstGeom>
        <a:noFill/>
        <a:ln w="0">
          <a:noFill/>
        </a:ln>
      </c:spPr>
      <c:txPr>
        <a:bodyPr/>
        <a:lstStyle/>
        <a:p>
          <a:pPr>
            <a:defRPr sz="900" b="0" strike="noStrike" spc="-1">
              <a:solidFill>
                <a:srgbClr val="595959"/>
              </a:solidFill>
              <a:latin typeface="Calibri"/>
              <a:ea typeface="Arial"/>
            </a:defRPr>
          </a:pPr>
          <a:endParaRPr lang="ru-RU"/>
        </a:p>
      </c:txPr>
    </c:legend>
    <c:plotVisOnly val="1"/>
    <c:dispBlanksAs val="gap"/>
    <c:showDLblsOverMax val="0"/>
  </c:chart>
  <c:spPr>
    <a:prstGeom prst="rect">
      <a:avLst/>
    </a:prstGeom>
    <a:solidFill>
      <a:srgbClr val="FFFFFF"/>
    </a:solidFill>
    <a:ln w="9360">
      <a:solidFill>
        <a:srgbClr val="D9D9D9"/>
      </a:solidFill>
      <a:round/>
    </a:ln>
  </c:spPr>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ru-RU" sz="1400" b="0" strike="noStrike" spc="1">
                <a:solidFill>
                  <a:srgbClr val="808080"/>
                </a:solidFill>
                <a:latin typeface="Times New Roman"/>
                <a:ea typeface="Arial"/>
              </a:defRPr>
            </a:pPr>
            <a:r>
              <a:rPr lang="ru-RU" sz="1400" b="0" strike="noStrike" spc="1">
                <a:solidFill>
                  <a:srgbClr val="808080"/>
                </a:solidFill>
                <a:latin typeface="Times New Roman"/>
                <a:ea typeface="Arial"/>
              </a:rPr>
              <a:t>Динамика УРУТ на отпуск электроэнергии, г/кВтч</a:t>
            </a:r>
            <a:endParaRPr lang="ru-RU"/>
          </a:p>
        </c:rich>
      </c:tx>
      <c:layout/>
      <c:overlay val="0"/>
      <c:spPr>
        <a:prstGeom prst="rect">
          <a:avLst/>
        </a:prstGeom>
        <a:noFill/>
        <a:ln w="0">
          <a:noFill/>
        </a:ln>
      </c:spPr>
    </c:title>
    <c:autoTitleDeleted val="0"/>
    <c:plotArea>
      <c:layout/>
      <c:barChart>
        <c:barDir val="col"/>
        <c:grouping val="clustered"/>
        <c:varyColors val="0"/>
        <c:ser>
          <c:idx val="0"/>
          <c:order val="0"/>
          <c:tx>
            <c:strRef>
              <c:f>label 0</c:f>
              <c:strCache>
                <c:ptCount val="1"/>
                <c:pt idx="0">
                  <c:v>Ряд1</c:v>
                </c:pt>
              </c:strCache>
            </c:strRef>
          </c:tx>
          <c:spPr>
            <a:prstGeom prst="rect">
              <a:avLst/>
            </a:prstGeom>
            <a:gradFill>
              <a:gsLst>
                <a:gs pos="0">
                  <a:srgbClr val="A8B7DF"/>
                </a:gs>
                <a:gs pos="50000">
                  <a:srgbClr val="9AABD9"/>
                </a:gs>
                <a:gs pos="100000">
                  <a:srgbClr val="889ED7"/>
                </a:gs>
              </a:gsLst>
              <a:lin ang="5400000" scaled="1"/>
            </a:gradFill>
            <a:ln w="9360">
              <a:solidFill>
                <a:srgbClr val="2F5597"/>
              </a:solidFill>
              <a:round/>
            </a:ln>
          </c:spPr>
          <c:invertIfNegative val="0"/>
          <c:dLbls>
            <c:numFmt formatCode="#,##0.0" sourceLinked="0"/>
            <c:spPr>
              <a:noFill/>
              <a:ln>
                <a:noFill/>
              </a:ln>
              <a:effectLst/>
            </c:spPr>
            <c:txPr>
              <a:bodyPr wrap="square"/>
              <a:lstStyle/>
              <a:p>
                <a:pPr>
                  <a:defRPr sz="1000" b="0" strike="noStrike" spc="-1">
                    <a:solidFill>
                      <a:srgbClr val="808080"/>
                    </a:solidFill>
                    <a:latin typeface="Times New Roman"/>
                    <a:ea typeface="Arial"/>
                  </a:defRPr>
                </a:pPr>
                <a:endParaRPr lang="ru-RU"/>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layout/>
                <c15:showLeaderLines val="0"/>
              </c:ext>
            </c:extLst>
          </c:dLbls>
          <c:cat>
            <c:strRef>
              <c:f>categories</c:f>
              <c:strCache>
                <c:ptCount val="3"/>
                <c:pt idx="0">
                  <c:v>2021</c:v>
                </c:pt>
                <c:pt idx="1">
                  <c:v>2022</c:v>
                </c:pt>
                <c:pt idx="2">
                  <c:v>2023</c:v>
                </c:pt>
              </c:strCache>
            </c:strRef>
          </c:cat>
          <c:val>
            <c:numRef>
              <c:f>0</c:f>
              <c:numCache>
                <c:formatCode>General</c:formatCode>
                <c:ptCount val="3"/>
                <c:pt idx="0">
                  <c:v>333.28807363907401</c:v>
                </c:pt>
                <c:pt idx="1">
                  <c:v>326.70533477849398</c:v>
                </c:pt>
                <c:pt idx="2">
                  <c:v>330.27258458047601</c:v>
                </c:pt>
              </c:numCache>
            </c:numRef>
          </c:val>
        </c:ser>
        <c:dLbls>
          <c:showLegendKey val="0"/>
          <c:showVal val="0"/>
          <c:showCatName val="0"/>
          <c:showSerName val="0"/>
          <c:showPercent val="0"/>
          <c:showBubbleSize val="0"/>
        </c:dLbls>
        <c:gapWidth val="100"/>
        <c:overlap val="-24"/>
        <c:axId val="564473040"/>
        <c:axId val="564474608"/>
      </c:barChart>
      <c:catAx>
        <c:axId val="564473040"/>
        <c:scaling>
          <c:orientation val="minMax"/>
        </c:scaling>
        <c:delete val="0"/>
        <c:axPos val="b"/>
        <c:numFmt formatCode="General" sourceLinked="0"/>
        <c:majorTickMark val="none"/>
        <c:minorTickMark val="none"/>
        <c:tickLblPos val="nextTo"/>
        <c:spPr>
          <a:prstGeom prst="rect">
            <a:avLst/>
          </a:prstGeom>
          <a:ln w="9360">
            <a:solidFill>
              <a:srgbClr val="D9D9D9"/>
            </a:solidFill>
            <a:round/>
          </a:ln>
        </c:spPr>
        <c:txPr>
          <a:bodyPr/>
          <a:lstStyle/>
          <a:p>
            <a:pPr>
              <a:defRPr sz="1000" b="0" strike="noStrike" spc="-1">
                <a:solidFill>
                  <a:srgbClr val="808080"/>
                </a:solidFill>
                <a:latin typeface="Times New Roman"/>
                <a:ea typeface="Arial"/>
              </a:defRPr>
            </a:pPr>
            <a:endParaRPr lang="ru-RU"/>
          </a:p>
        </c:txPr>
        <c:crossAx val="564474608"/>
        <c:crosses val="autoZero"/>
        <c:auto val="1"/>
        <c:lblAlgn val="ctr"/>
        <c:lblOffset val="100"/>
        <c:noMultiLvlLbl val="0"/>
      </c:catAx>
      <c:valAx>
        <c:axId val="564474608"/>
        <c:scaling>
          <c:orientation val="minMax"/>
        </c:scaling>
        <c:delete val="1"/>
        <c:axPos val="l"/>
        <c:majorGridlines>
          <c:spPr>
            <a:prstGeom prst="rect">
              <a:avLst/>
            </a:prstGeom>
            <a:ln w="9360">
              <a:solidFill>
                <a:srgbClr val="D9D9D9"/>
              </a:solidFill>
              <a:round/>
            </a:ln>
          </c:spPr>
        </c:majorGridlines>
        <c:numFmt formatCode="General" sourceLinked="1"/>
        <c:majorTickMark val="none"/>
        <c:minorTickMark val="none"/>
        <c:tickLblPos val="nextTo"/>
        <c:crossAx val="564473040"/>
        <c:crosses val="autoZero"/>
        <c:crossBetween val="between"/>
      </c:valAx>
      <c:spPr>
        <a:prstGeom prst="rect">
          <a:avLst/>
        </a:prstGeom>
        <a:noFill/>
        <a:ln w="0">
          <a:noFill/>
        </a:ln>
      </c:spPr>
    </c:plotArea>
    <c:plotVisOnly val="1"/>
    <c:dispBlanksAs val="gap"/>
    <c:showDLblsOverMax val="0"/>
  </c:chart>
  <c:spPr>
    <a:prstGeom prst="rect">
      <a:avLst/>
    </a:prstGeom>
    <a:solidFill>
      <a:srgbClr val="FFFFFF"/>
    </a:solidFill>
    <a:ln w="9360">
      <a:solidFill>
        <a:srgbClr val="D9D9D9"/>
      </a:solidFill>
      <a:round/>
    </a:ln>
  </c:spPr>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ru-RU" sz="1400" b="0" strike="noStrike" spc="1">
                <a:solidFill>
                  <a:srgbClr val="808080"/>
                </a:solidFill>
                <a:latin typeface="Times New Roman"/>
                <a:ea typeface="Arial"/>
              </a:defRPr>
            </a:pPr>
            <a:r>
              <a:rPr lang="ru-RU" sz="1400" b="0" strike="noStrike" spc="1">
                <a:solidFill>
                  <a:srgbClr val="808080"/>
                </a:solidFill>
                <a:latin typeface="Times New Roman"/>
                <a:ea typeface="Arial"/>
              </a:rPr>
              <a:t>Динамика УРУТ на отпуск тепловой энергии, кг/Гкал</a:t>
            </a:r>
            <a:endParaRPr lang="ru-RU"/>
          </a:p>
        </c:rich>
      </c:tx>
      <c:layout/>
      <c:overlay val="0"/>
      <c:spPr>
        <a:prstGeom prst="rect">
          <a:avLst/>
        </a:prstGeom>
        <a:noFill/>
        <a:ln w="0">
          <a:noFill/>
        </a:ln>
      </c:spPr>
    </c:title>
    <c:autoTitleDeleted val="0"/>
    <c:plotArea>
      <c:layout/>
      <c:barChart>
        <c:barDir val="col"/>
        <c:grouping val="clustered"/>
        <c:varyColors val="0"/>
        <c:ser>
          <c:idx val="0"/>
          <c:order val="0"/>
          <c:tx>
            <c:strRef>
              <c:f>label 0</c:f>
              <c:strCache>
                <c:ptCount val="1"/>
                <c:pt idx="0">
                  <c:v>Ряд1</c:v>
                </c:pt>
              </c:strCache>
            </c:strRef>
          </c:tx>
          <c:spPr>
            <a:prstGeom prst="rect">
              <a:avLst/>
            </a:prstGeom>
            <a:solidFill>
              <a:srgbClr val="F4B183"/>
            </a:solidFill>
            <a:ln w="9360">
              <a:solidFill>
                <a:srgbClr val="C55A11"/>
              </a:solidFill>
              <a:round/>
            </a:ln>
          </c:spPr>
          <c:invertIfNegative val="0"/>
          <c:dLbls>
            <c:numFmt formatCode="#,##0.0" sourceLinked="0"/>
            <c:spPr>
              <a:noFill/>
              <a:ln>
                <a:noFill/>
              </a:ln>
              <a:effectLst/>
            </c:spPr>
            <c:txPr>
              <a:bodyPr wrap="square"/>
              <a:lstStyle/>
              <a:p>
                <a:pPr>
                  <a:defRPr sz="1000" b="0" strike="noStrike" spc="-1">
                    <a:solidFill>
                      <a:srgbClr val="808080"/>
                    </a:solidFill>
                    <a:latin typeface="Times New Roman"/>
                    <a:ea typeface="Arial"/>
                  </a:defRPr>
                </a:pPr>
                <a:endParaRPr lang="ru-RU"/>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layout/>
                <c15:showLeaderLines val="0"/>
              </c:ext>
            </c:extLst>
          </c:dLbls>
          <c:cat>
            <c:strRef>
              <c:f>categories</c:f>
              <c:strCache>
                <c:ptCount val="3"/>
                <c:pt idx="0">
                  <c:v>2021</c:v>
                </c:pt>
                <c:pt idx="1">
                  <c:v>2022</c:v>
                </c:pt>
                <c:pt idx="2">
                  <c:v>2023</c:v>
                </c:pt>
              </c:strCache>
            </c:strRef>
          </c:cat>
          <c:val>
            <c:numRef>
              <c:f>0</c:f>
              <c:numCache>
                <c:formatCode>General</c:formatCode>
                <c:ptCount val="3"/>
                <c:pt idx="0">
                  <c:v>166</c:v>
                </c:pt>
                <c:pt idx="1">
                  <c:v>166.036229659399</c:v>
                </c:pt>
                <c:pt idx="2">
                  <c:v>163.96906076271699</c:v>
                </c:pt>
              </c:numCache>
            </c:numRef>
          </c:val>
        </c:ser>
        <c:dLbls>
          <c:showLegendKey val="0"/>
          <c:showVal val="0"/>
          <c:showCatName val="0"/>
          <c:showSerName val="0"/>
          <c:showPercent val="0"/>
          <c:showBubbleSize val="0"/>
        </c:dLbls>
        <c:gapWidth val="100"/>
        <c:overlap val="-24"/>
        <c:axId val="843419136"/>
        <c:axId val="843416000"/>
      </c:barChart>
      <c:catAx>
        <c:axId val="843419136"/>
        <c:scaling>
          <c:orientation val="minMax"/>
        </c:scaling>
        <c:delete val="0"/>
        <c:axPos val="b"/>
        <c:numFmt formatCode="General" sourceLinked="0"/>
        <c:majorTickMark val="none"/>
        <c:minorTickMark val="none"/>
        <c:tickLblPos val="nextTo"/>
        <c:spPr>
          <a:prstGeom prst="rect">
            <a:avLst/>
          </a:prstGeom>
          <a:ln w="9360">
            <a:solidFill>
              <a:srgbClr val="D9D9D9"/>
            </a:solidFill>
            <a:round/>
          </a:ln>
        </c:spPr>
        <c:txPr>
          <a:bodyPr/>
          <a:lstStyle/>
          <a:p>
            <a:pPr>
              <a:defRPr sz="1000" b="0" strike="noStrike" spc="-1">
                <a:solidFill>
                  <a:srgbClr val="808080"/>
                </a:solidFill>
                <a:latin typeface="Times New Roman"/>
                <a:ea typeface="Arial"/>
              </a:defRPr>
            </a:pPr>
            <a:endParaRPr lang="ru-RU"/>
          </a:p>
        </c:txPr>
        <c:crossAx val="843416000"/>
        <c:crosses val="autoZero"/>
        <c:auto val="1"/>
        <c:lblAlgn val="ctr"/>
        <c:lblOffset val="100"/>
        <c:noMultiLvlLbl val="0"/>
      </c:catAx>
      <c:valAx>
        <c:axId val="843416000"/>
        <c:scaling>
          <c:orientation val="minMax"/>
        </c:scaling>
        <c:delete val="1"/>
        <c:axPos val="l"/>
        <c:majorGridlines>
          <c:spPr>
            <a:prstGeom prst="rect">
              <a:avLst/>
            </a:prstGeom>
            <a:ln w="9360">
              <a:solidFill>
                <a:srgbClr val="D9D9D9"/>
              </a:solidFill>
              <a:round/>
            </a:ln>
          </c:spPr>
        </c:majorGridlines>
        <c:numFmt formatCode="General" sourceLinked="1"/>
        <c:majorTickMark val="none"/>
        <c:minorTickMark val="none"/>
        <c:tickLblPos val="nextTo"/>
        <c:crossAx val="843419136"/>
        <c:crosses val="autoZero"/>
        <c:crossBetween val="between"/>
      </c:valAx>
      <c:spPr>
        <a:prstGeom prst="rect">
          <a:avLst/>
        </a:prstGeom>
        <a:noFill/>
        <a:ln w="0">
          <a:noFill/>
        </a:ln>
      </c:spPr>
    </c:plotArea>
    <c:plotVisOnly val="1"/>
    <c:dispBlanksAs val="gap"/>
    <c:showDLblsOverMax val="0"/>
  </c:chart>
  <c:spPr>
    <a:prstGeom prst="rect">
      <a:avLst/>
    </a:prstGeom>
    <a:solidFill>
      <a:srgbClr val="FFFFFF"/>
    </a:solidFill>
    <a:ln w="9360">
      <a:solidFill>
        <a:srgbClr val="D9D9D9"/>
      </a:solidFill>
      <a:round/>
    </a:ln>
  </c:spPr>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1919F91-2FE3-4D20-9D37-5D9EFE4339F3}" type="doc">
      <dgm:prSet loTypeId="urn:microsoft.com/office/officeart/2005/8/layout/lProcess2" loCatId="list" qsTypeId="urn:microsoft.com/office/officeart/2005/8/quickstyle/simple1" qsCatId="simple" csTypeId="urn:microsoft.com/office/officeart/2005/8/colors/accent1_2" csCatId="accent1" phldr="1"/>
      <dgm:spPr bwMode="auto"/>
      <dgm:t>
        <a:bodyPr/>
        <a:lstStyle/>
        <a:p>
          <a:pPr>
            <a:defRPr/>
          </a:pPr>
          <a:endParaRPr lang="ru-RU"/>
        </a:p>
      </dgm:t>
    </dgm:pt>
    <dgm:pt modelId="{7E40767E-A9D9-49AB-BAFB-739E14B67072}">
      <dgm:prSet phldrT="[Text]" custT="1"/>
      <dgm:spPr bwMode="auto"/>
      <dgm:t>
        <a:bodyPr/>
        <a:lstStyle/>
        <a:p>
          <a:pPr>
            <a:defRPr/>
          </a:pPr>
          <a:r>
            <a:rPr lang="ru-RU" sz="2400"/>
            <a:t>100%</a:t>
          </a:r>
          <a:endParaRPr/>
        </a:p>
      </dgm:t>
    </dgm:pt>
    <dgm:pt modelId="{7EE40C9C-9205-4C07-8E70-5E65D9473320}" type="parTrans" cxnId="{E79ED49A-1622-4378-983C-1C75F6EBD7EE}">
      <dgm:prSet/>
      <dgm:spPr bwMode="auto"/>
      <dgm:t>
        <a:bodyPr/>
        <a:lstStyle/>
        <a:p>
          <a:pPr>
            <a:defRPr/>
          </a:pPr>
          <a:endParaRPr lang="ru-RU"/>
        </a:p>
      </dgm:t>
    </dgm:pt>
    <dgm:pt modelId="{DBDC138E-2A31-4505-A837-DD99D5B61DFF}" type="sibTrans" cxnId="{E79ED49A-1622-4378-983C-1C75F6EBD7EE}">
      <dgm:prSet/>
      <dgm:spPr bwMode="auto"/>
      <dgm:t>
        <a:bodyPr/>
        <a:lstStyle/>
        <a:p>
          <a:pPr>
            <a:defRPr/>
          </a:pPr>
          <a:endParaRPr lang="ru-RU"/>
        </a:p>
      </dgm:t>
    </dgm:pt>
    <dgm:pt modelId="{03A0AB69-5D9A-4F0A-97BA-32A3F93A6674}">
      <dgm:prSet phldrT="[Text]"/>
      <dgm:spPr bwMode="auto">
        <a:solidFill>
          <a:schemeClr val="accent3"/>
        </a:solidFill>
      </dgm:spPr>
      <dgm:t>
        <a:bodyPr/>
        <a:lstStyle/>
        <a:p>
          <a:pPr>
            <a:defRPr/>
          </a:pPr>
          <a:r>
            <a:rPr lang="ru-RU"/>
            <a:t>Посещаемость заседаний Комитета Совета директоров по стратегии, инвестициям и устойчивому развитию</a:t>
          </a:r>
          <a:endParaRPr/>
        </a:p>
      </dgm:t>
    </dgm:pt>
    <dgm:pt modelId="{2F3B6CD0-3BB0-472C-937F-95A7F24C684F}" type="parTrans" cxnId="{6A17B84A-F643-4880-B456-524AF94CC9A3}">
      <dgm:prSet/>
      <dgm:spPr bwMode="auto"/>
      <dgm:t>
        <a:bodyPr/>
        <a:lstStyle/>
        <a:p>
          <a:pPr>
            <a:defRPr/>
          </a:pPr>
          <a:endParaRPr lang="ru-RU"/>
        </a:p>
      </dgm:t>
    </dgm:pt>
    <dgm:pt modelId="{E51FB049-B29D-42B5-9ABF-5967606082B0}" type="sibTrans" cxnId="{6A17B84A-F643-4880-B456-524AF94CC9A3}">
      <dgm:prSet/>
      <dgm:spPr bwMode="auto"/>
      <dgm:t>
        <a:bodyPr/>
        <a:lstStyle/>
        <a:p>
          <a:pPr>
            <a:defRPr/>
          </a:pPr>
          <a:endParaRPr lang="ru-RU"/>
        </a:p>
      </dgm:t>
    </dgm:pt>
    <dgm:pt modelId="{491BDCD6-046D-4C05-81A0-FB23D5C33164}">
      <dgm:prSet phldrT="[Text]" custT="1"/>
      <dgm:spPr bwMode="auto"/>
      <dgm:t>
        <a:bodyPr/>
        <a:lstStyle/>
        <a:p>
          <a:pPr>
            <a:defRPr/>
          </a:pPr>
          <a:r>
            <a:rPr lang="ru-RU" sz="2400"/>
            <a:t>100%</a:t>
          </a:r>
          <a:endParaRPr/>
        </a:p>
      </dgm:t>
    </dgm:pt>
    <dgm:pt modelId="{9D6B83B6-97C9-4BAB-9F66-078C540EB2CE}" type="parTrans" cxnId="{7B62672E-7C18-446F-9A61-ED6806A371B9}">
      <dgm:prSet/>
      <dgm:spPr bwMode="auto"/>
      <dgm:t>
        <a:bodyPr/>
        <a:lstStyle/>
        <a:p>
          <a:pPr>
            <a:defRPr/>
          </a:pPr>
          <a:endParaRPr lang="ru-RU"/>
        </a:p>
      </dgm:t>
    </dgm:pt>
    <dgm:pt modelId="{9144BB6B-073B-4D3E-ABBF-B6B1FF0CF02C}" type="sibTrans" cxnId="{7B62672E-7C18-446F-9A61-ED6806A371B9}">
      <dgm:prSet/>
      <dgm:spPr bwMode="auto"/>
      <dgm:t>
        <a:bodyPr/>
        <a:lstStyle/>
        <a:p>
          <a:pPr>
            <a:defRPr/>
          </a:pPr>
          <a:endParaRPr lang="ru-RU"/>
        </a:p>
      </dgm:t>
    </dgm:pt>
    <dgm:pt modelId="{0AFCF317-139A-47D0-8A62-C6D05495AE00}">
      <dgm:prSet phldrT="[Text]"/>
      <dgm:spPr bwMode="auto"/>
      <dgm:t>
        <a:bodyPr/>
        <a:lstStyle/>
        <a:p>
          <a:pPr>
            <a:defRPr/>
          </a:pPr>
          <a:r>
            <a:rPr lang="ru-RU"/>
            <a:t>Посещаемость заседаний Комитета Совета директоров по кадрам и вознаграждениям</a:t>
          </a:r>
          <a:endParaRPr/>
        </a:p>
      </dgm:t>
    </dgm:pt>
    <dgm:pt modelId="{B9AE5406-BE2F-43C8-89AF-36728A25D313}" type="parTrans" cxnId="{8F15C44A-070A-48E5-86EE-0B847628820E}">
      <dgm:prSet/>
      <dgm:spPr bwMode="auto"/>
      <dgm:t>
        <a:bodyPr/>
        <a:lstStyle/>
        <a:p>
          <a:pPr>
            <a:defRPr/>
          </a:pPr>
          <a:endParaRPr lang="ru-RU"/>
        </a:p>
      </dgm:t>
    </dgm:pt>
    <dgm:pt modelId="{FFD539A6-4667-4A17-8BEF-D1041410939C}" type="sibTrans" cxnId="{8F15C44A-070A-48E5-86EE-0B847628820E}">
      <dgm:prSet/>
      <dgm:spPr bwMode="auto"/>
      <dgm:t>
        <a:bodyPr/>
        <a:lstStyle/>
        <a:p>
          <a:pPr>
            <a:defRPr/>
          </a:pPr>
          <a:endParaRPr lang="ru-RU"/>
        </a:p>
      </dgm:t>
    </dgm:pt>
    <dgm:pt modelId="{1ECF4F1B-174B-4F47-8BD0-9A92325428AD}">
      <dgm:prSet phldrT="[Text]" custT="1"/>
      <dgm:spPr bwMode="auto"/>
      <dgm:t>
        <a:bodyPr/>
        <a:lstStyle/>
        <a:p>
          <a:pPr>
            <a:defRPr/>
          </a:pPr>
          <a:r>
            <a:rPr lang="ru-RU" sz="2400"/>
            <a:t>100%</a:t>
          </a:r>
          <a:endParaRPr/>
        </a:p>
      </dgm:t>
    </dgm:pt>
    <dgm:pt modelId="{83609CF8-3E2D-4FA0-836F-36E413BAD5BF}" type="parTrans" cxnId="{EAE889C8-5373-407A-AD65-ABFD63C077E0}">
      <dgm:prSet/>
      <dgm:spPr bwMode="auto"/>
      <dgm:t>
        <a:bodyPr/>
        <a:lstStyle/>
        <a:p>
          <a:pPr>
            <a:defRPr/>
          </a:pPr>
          <a:endParaRPr lang="ru-RU"/>
        </a:p>
      </dgm:t>
    </dgm:pt>
    <dgm:pt modelId="{5595B127-262D-4DDB-AC4F-835FB4DC9D59}" type="sibTrans" cxnId="{EAE889C8-5373-407A-AD65-ABFD63C077E0}">
      <dgm:prSet/>
      <dgm:spPr bwMode="auto"/>
      <dgm:t>
        <a:bodyPr/>
        <a:lstStyle/>
        <a:p>
          <a:pPr>
            <a:defRPr/>
          </a:pPr>
          <a:endParaRPr lang="ru-RU"/>
        </a:p>
      </dgm:t>
    </dgm:pt>
    <dgm:pt modelId="{08CEBE14-D1E5-43CC-8D67-11D481E60A29}">
      <dgm:prSet phldrT="[Text]"/>
      <dgm:spPr bwMode="auto">
        <a:solidFill>
          <a:schemeClr val="accent2">
            <a:lumMod val="60000"/>
            <a:lumOff val="40000"/>
          </a:schemeClr>
        </a:solidFill>
      </dgm:spPr>
      <dgm:t>
        <a:bodyPr/>
        <a:lstStyle/>
        <a:p>
          <a:pPr>
            <a:defRPr/>
          </a:pPr>
          <a:r>
            <a:rPr lang="ru-RU"/>
            <a:t>Посещаемость заседаний Комитета Совета директоров по аудиту</a:t>
          </a:r>
          <a:endParaRPr/>
        </a:p>
      </dgm:t>
    </dgm:pt>
    <dgm:pt modelId="{A8C05DD1-4AA0-44B1-BAA1-C1954B3CDF22}" type="parTrans" cxnId="{8ACCAB28-E818-4A31-8AAA-A18632D4F3BB}">
      <dgm:prSet/>
      <dgm:spPr bwMode="auto"/>
      <dgm:t>
        <a:bodyPr/>
        <a:lstStyle/>
        <a:p>
          <a:pPr>
            <a:defRPr/>
          </a:pPr>
          <a:endParaRPr lang="ru-RU"/>
        </a:p>
      </dgm:t>
    </dgm:pt>
    <dgm:pt modelId="{963C1206-8EEB-4889-A2E5-336141DAC18C}" type="sibTrans" cxnId="{8ACCAB28-E818-4A31-8AAA-A18632D4F3BB}">
      <dgm:prSet/>
      <dgm:spPr bwMode="auto"/>
      <dgm:t>
        <a:bodyPr/>
        <a:lstStyle/>
        <a:p>
          <a:pPr>
            <a:defRPr/>
          </a:pPr>
          <a:endParaRPr lang="ru-RU"/>
        </a:p>
      </dgm:t>
    </dgm:pt>
    <dgm:pt modelId="{5CD64163-7819-44D9-BD90-F552707B977C}" type="pres">
      <dgm:prSet presAssocID="{91919F91-2FE3-4D20-9D37-5D9EFE4339F3}" presName="theList" presStyleCnt="0">
        <dgm:presLayoutVars>
          <dgm:dir/>
          <dgm:animLvl val="lvl"/>
          <dgm:resizeHandles val="exact"/>
        </dgm:presLayoutVars>
      </dgm:prSet>
      <dgm:spPr bwMode="auto"/>
      <dgm:t>
        <a:bodyPr/>
        <a:lstStyle/>
        <a:p>
          <a:pPr>
            <a:defRPr/>
          </a:pPr>
          <a:endParaRPr lang="ru-RU"/>
        </a:p>
      </dgm:t>
    </dgm:pt>
    <dgm:pt modelId="{678B9932-80FF-44AF-B024-7B63C2461429}" type="pres">
      <dgm:prSet presAssocID="{7E40767E-A9D9-49AB-BAFB-739E14B67072}" presName="compNode" presStyleCnt="0"/>
      <dgm:spPr bwMode="auto"/>
    </dgm:pt>
    <dgm:pt modelId="{D98306B0-562D-430F-BE54-A5E77D727C24}" type="pres">
      <dgm:prSet presAssocID="{7E40767E-A9D9-49AB-BAFB-739E14B67072}" presName="aNode" presStyleLbl="bgShp" presStyleIdx="0" presStyleCnt="3"/>
      <dgm:spPr bwMode="auto"/>
      <dgm:t>
        <a:bodyPr/>
        <a:lstStyle/>
        <a:p>
          <a:pPr>
            <a:defRPr/>
          </a:pPr>
          <a:endParaRPr lang="ru-RU"/>
        </a:p>
      </dgm:t>
    </dgm:pt>
    <dgm:pt modelId="{7C5FED3A-E28D-4125-BF06-DA342E8CDF24}" type="pres">
      <dgm:prSet presAssocID="{7E40767E-A9D9-49AB-BAFB-739E14B67072}" presName="textNode" presStyleLbl="bgShp" presStyleIdx="0" presStyleCnt="3"/>
      <dgm:spPr bwMode="auto"/>
      <dgm:t>
        <a:bodyPr/>
        <a:lstStyle/>
        <a:p>
          <a:pPr>
            <a:defRPr/>
          </a:pPr>
          <a:endParaRPr lang="ru-RU"/>
        </a:p>
      </dgm:t>
    </dgm:pt>
    <dgm:pt modelId="{269C0822-0616-404E-BB0C-02E2070A315D}" type="pres">
      <dgm:prSet presAssocID="{7E40767E-A9D9-49AB-BAFB-739E14B67072}" presName="compChildNode" presStyleCnt="0"/>
      <dgm:spPr bwMode="auto"/>
    </dgm:pt>
    <dgm:pt modelId="{7CC0E931-E0C8-441E-9C53-67EC7383B799}" type="pres">
      <dgm:prSet presAssocID="{7E40767E-A9D9-49AB-BAFB-739E14B67072}" presName="theInnerList" presStyleCnt="0"/>
      <dgm:spPr bwMode="auto"/>
    </dgm:pt>
    <dgm:pt modelId="{6069B278-1037-47B8-8615-4DA900A8A03A}" type="pres">
      <dgm:prSet presAssocID="{03A0AB69-5D9A-4F0A-97BA-32A3F93A6674}" presName="childNode" presStyleLbl="node1" presStyleIdx="0" presStyleCnt="3">
        <dgm:presLayoutVars>
          <dgm:bulletEnabled val="1"/>
        </dgm:presLayoutVars>
      </dgm:prSet>
      <dgm:spPr bwMode="auto"/>
      <dgm:t>
        <a:bodyPr/>
        <a:lstStyle/>
        <a:p>
          <a:pPr>
            <a:defRPr/>
          </a:pPr>
          <a:endParaRPr lang="ru-RU"/>
        </a:p>
      </dgm:t>
    </dgm:pt>
    <dgm:pt modelId="{FD44D191-CADE-4B99-8D74-D8E2E6BE880F}" type="pres">
      <dgm:prSet presAssocID="{7E40767E-A9D9-49AB-BAFB-739E14B67072}" presName="aSpace" presStyleCnt="0"/>
      <dgm:spPr bwMode="auto"/>
    </dgm:pt>
    <dgm:pt modelId="{06572426-DBCC-42A0-9602-26EAE80B6E50}" type="pres">
      <dgm:prSet presAssocID="{491BDCD6-046D-4C05-81A0-FB23D5C33164}" presName="compNode" presStyleCnt="0"/>
      <dgm:spPr bwMode="auto"/>
    </dgm:pt>
    <dgm:pt modelId="{1140C5C5-A943-4DE7-95C1-51A09FA5E2EF}" type="pres">
      <dgm:prSet presAssocID="{491BDCD6-046D-4C05-81A0-FB23D5C33164}" presName="aNode" presStyleLbl="bgShp" presStyleIdx="1" presStyleCnt="3"/>
      <dgm:spPr bwMode="auto"/>
      <dgm:t>
        <a:bodyPr/>
        <a:lstStyle/>
        <a:p>
          <a:pPr>
            <a:defRPr/>
          </a:pPr>
          <a:endParaRPr lang="ru-RU"/>
        </a:p>
      </dgm:t>
    </dgm:pt>
    <dgm:pt modelId="{F970C7FA-547C-4E6D-A753-7FCDB868C3B1}" type="pres">
      <dgm:prSet presAssocID="{491BDCD6-046D-4C05-81A0-FB23D5C33164}" presName="textNode" presStyleLbl="bgShp" presStyleIdx="1" presStyleCnt="3"/>
      <dgm:spPr bwMode="auto"/>
      <dgm:t>
        <a:bodyPr/>
        <a:lstStyle/>
        <a:p>
          <a:pPr>
            <a:defRPr/>
          </a:pPr>
          <a:endParaRPr lang="ru-RU"/>
        </a:p>
      </dgm:t>
    </dgm:pt>
    <dgm:pt modelId="{3C3D9142-3766-463A-9F3F-EB721DA16C8D}" type="pres">
      <dgm:prSet presAssocID="{491BDCD6-046D-4C05-81A0-FB23D5C33164}" presName="compChildNode" presStyleCnt="0"/>
      <dgm:spPr bwMode="auto"/>
    </dgm:pt>
    <dgm:pt modelId="{407DF6FC-D587-46F9-98AC-6FD7E06C43FC}" type="pres">
      <dgm:prSet presAssocID="{491BDCD6-046D-4C05-81A0-FB23D5C33164}" presName="theInnerList" presStyleCnt="0"/>
      <dgm:spPr bwMode="auto"/>
    </dgm:pt>
    <dgm:pt modelId="{8D07745B-BEB1-4416-8188-1328651C8D9D}" type="pres">
      <dgm:prSet presAssocID="{0AFCF317-139A-47D0-8A62-C6D05495AE00}" presName="childNode" presStyleLbl="node1" presStyleIdx="1" presStyleCnt="3">
        <dgm:presLayoutVars>
          <dgm:bulletEnabled val="1"/>
        </dgm:presLayoutVars>
      </dgm:prSet>
      <dgm:spPr bwMode="auto"/>
      <dgm:t>
        <a:bodyPr/>
        <a:lstStyle/>
        <a:p>
          <a:pPr>
            <a:defRPr/>
          </a:pPr>
          <a:endParaRPr lang="ru-RU"/>
        </a:p>
      </dgm:t>
    </dgm:pt>
    <dgm:pt modelId="{BD00078F-32B6-45DB-8E5C-67DD0A4DD6F6}" type="pres">
      <dgm:prSet presAssocID="{491BDCD6-046D-4C05-81A0-FB23D5C33164}" presName="aSpace" presStyleCnt="0"/>
      <dgm:spPr bwMode="auto"/>
    </dgm:pt>
    <dgm:pt modelId="{2FD70D31-87AF-4C29-A76E-665B9D6E3387}" type="pres">
      <dgm:prSet presAssocID="{1ECF4F1B-174B-4F47-8BD0-9A92325428AD}" presName="compNode" presStyleCnt="0"/>
      <dgm:spPr bwMode="auto"/>
    </dgm:pt>
    <dgm:pt modelId="{998F38F0-6D2E-47D0-80CA-6EDCD66E5DFF}" type="pres">
      <dgm:prSet presAssocID="{1ECF4F1B-174B-4F47-8BD0-9A92325428AD}" presName="aNode" presStyleLbl="bgShp" presStyleIdx="2" presStyleCnt="3"/>
      <dgm:spPr bwMode="auto"/>
      <dgm:t>
        <a:bodyPr/>
        <a:lstStyle/>
        <a:p>
          <a:pPr>
            <a:defRPr/>
          </a:pPr>
          <a:endParaRPr lang="ru-RU"/>
        </a:p>
      </dgm:t>
    </dgm:pt>
    <dgm:pt modelId="{115CE754-0A05-44A0-918E-3A0F666A1775}" type="pres">
      <dgm:prSet presAssocID="{1ECF4F1B-174B-4F47-8BD0-9A92325428AD}" presName="textNode" presStyleLbl="bgShp" presStyleIdx="2" presStyleCnt="3"/>
      <dgm:spPr bwMode="auto"/>
      <dgm:t>
        <a:bodyPr/>
        <a:lstStyle/>
        <a:p>
          <a:pPr>
            <a:defRPr/>
          </a:pPr>
          <a:endParaRPr lang="ru-RU"/>
        </a:p>
      </dgm:t>
    </dgm:pt>
    <dgm:pt modelId="{CE42490D-BC1E-4A91-AD57-98AA61221A45}" type="pres">
      <dgm:prSet presAssocID="{1ECF4F1B-174B-4F47-8BD0-9A92325428AD}" presName="compChildNode" presStyleCnt="0"/>
      <dgm:spPr bwMode="auto"/>
    </dgm:pt>
    <dgm:pt modelId="{5E42DB40-3050-496D-8C77-3DFC63845845}" type="pres">
      <dgm:prSet presAssocID="{1ECF4F1B-174B-4F47-8BD0-9A92325428AD}" presName="theInnerList" presStyleCnt="0"/>
      <dgm:spPr bwMode="auto"/>
    </dgm:pt>
    <dgm:pt modelId="{2F0A890C-D38B-40FA-A00A-529DA683BC2D}" type="pres">
      <dgm:prSet presAssocID="{08CEBE14-D1E5-43CC-8D67-11D481E60A29}" presName="childNode" presStyleLbl="node1" presStyleIdx="2" presStyleCnt="3">
        <dgm:presLayoutVars>
          <dgm:bulletEnabled val="1"/>
        </dgm:presLayoutVars>
      </dgm:prSet>
      <dgm:spPr bwMode="auto"/>
      <dgm:t>
        <a:bodyPr/>
        <a:lstStyle/>
        <a:p>
          <a:pPr>
            <a:defRPr/>
          </a:pPr>
          <a:endParaRPr lang="ru-RU"/>
        </a:p>
      </dgm:t>
    </dgm:pt>
  </dgm:ptLst>
  <dgm:cxnLst>
    <dgm:cxn modelId="{AFBB749C-3DAE-48D3-8A43-66D8040658AE}" type="presOf" srcId="{03A0AB69-5D9A-4F0A-97BA-32A3F93A6674}" destId="{6069B278-1037-47B8-8615-4DA900A8A03A}" srcOrd="0" destOrd="0" presId="urn:microsoft.com/office/officeart/2005/8/layout/lProcess2"/>
    <dgm:cxn modelId="{14E7321E-D98C-4D8F-9EC1-8BAF61DBDCFC}" type="presOf" srcId="{91919F91-2FE3-4D20-9D37-5D9EFE4339F3}" destId="{5CD64163-7819-44D9-BD90-F552707B977C}" srcOrd="0" destOrd="0" presId="urn:microsoft.com/office/officeart/2005/8/layout/lProcess2"/>
    <dgm:cxn modelId="{7F424E3B-52BD-495C-9B4F-E31FB50C00F0}" type="presOf" srcId="{491BDCD6-046D-4C05-81A0-FB23D5C33164}" destId="{1140C5C5-A943-4DE7-95C1-51A09FA5E2EF}" srcOrd="0" destOrd="0" presId="urn:microsoft.com/office/officeart/2005/8/layout/lProcess2"/>
    <dgm:cxn modelId="{8ACCAB28-E818-4A31-8AAA-A18632D4F3BB}" srcId="{1ECF4F1B-174B-4F47-8BD0-9A92325428AD}" destId="{08CEBE14-D1E5-43CC-8D67-11D481E60A29}" srcOrd="0" destOrd="0" parTransId="{A8C05DD1-4AA0-44B1-BAA1-C1954B3CDF22}" sibTransId="{963C1206-8EEB-4889-A2E5-336141DAC18C}"/>
    <dgm:cxn modelId="{EAE889C8-5373-407A-AD65-ABFD63C077E0}" srcId="{91919F91-2FE3-4D20-9D37-5D9EFE4339F3}" destId="{1ECF4F1B-174B-4F47-8BD0-9A92325428AD}" srcOrd="2" destOrd="0" parTransId="{83609CF8-3E2D-4FA0-836F-36E413BAD5BF}" sibTransId="{5595B127-262D-4DDB-AC4F-835FB4DC9D59}"/>
    <dgm:cxn modelId="{D18C9C3F-3D51-4F40-8DF4-EF7C9A20DF03}" type="presOf" srcId="{491BDCD6-046D-4C05-81A0-FB23D5C33164}" destId="{F970C7FA-547C-4E6D-A753-7FCDB868C3B1}" srcOrd="1" destOrd="0" presId="urn:microsoft.com/office/officeart/2005/8/layout/lProcess2"/>
    <dgm:cxn modelId="{E79ED49A-1622-4378-983C-1C75F6EBD7EE}" srcId="{91919F91-2FE3-4D20-9D37-5D9EFE4339F3}" destId="{7E40767E-A9D9-49AB-BAFB-739E14B67072}" srcOrd="0" destOrd="0" parTransId="{7EE40C9C-9205-4C07-8E70-5E65D9473320}" sibTransId="{DBDC138E-2A31-4505-A837-DD99D5B61DFF}"/>
    <dgm:cxn modelId="{5A8F95D1-2B43-4C4F-9CCA-5736DD058275}" type="presOf" srcId="{1ECF4F1B-174B-4F47-8BD0-9A92325428AD}" destId="{998F38F0-6D2E-47D0-80CA-6EDCD66E5DFF}" srcOrd="0" destOrd="0" presId="urn:microsoft.com/office/officeart/2005/8/layout/lProcess2"/>
    <dgm:cxn modelId="{7B62672E-7C18-446F-9A61-ED6806A371B9}" srcId="{91919F91-2FE3-4D20-9D37-5D9EFE4339F3}" destId="{491BDCD6-046D-4C05-81A0-FB23D5C33164}" srcOrd="1" destOrd="0" parTransId="{9D6B83B6-97C9-4BAB-9F66-078C540EB2CE}" sibTransId="{9144BB6B-073B-4D3E-ABBF-B6B1FF0CF02C}"/>
    <dgm:cxn modelId="{6A17B84A-F643-4880-B456-524AF94CC9A3}" srcId="{7E40767E-A9D9-49AB-BAFB-739E14B67072}" destId="{03A0AB69-5D9A-4F0A-97BA-32A3F93A6674}" srcOrd="0" destOrd="0" parTransId="{2F3B6CD0-3BB0-472C-937F-95A7F24C684F}" sibTransId="{E51FB049-B29D-42B5-9ABF-5967606082B0}"/>
    <dgm:cxn modelId="{DBC8CE64-52AD-4BF6-810C-F6ABAB8F3EAC}" type="presOf" srcId="{0AFCF317-139A-47D0-8A62-C6D05495AE00}" destId="{8D07745B-BEB1-4416-8188-1328651C8D9D}" srcOrd="0" destOrd="0" presId="urn:microsoft.com/office/officeart/2005/8/layout/lProcess2"/>
    <dgm:cxn modelId="{5A605B47-FA26-4C1F-B7DB-470F85EDAB10}" type="presOf" srcId="{08CEBE14-D1E5-43CC-8D67-11D481E60A29}" destId="{2F0A890C-D38B-40FA-A00A-529DA683BC2D}" srcOrd="0" destOrd="0" presId="urn:microsoft.com/office/officeart/2005/8/layout/lProcess2"/>
    <dgm:cxn modelId="{02ADE2C3-0F82-477B-8292-C08D4BAA6A94}" type="presOf" srcId="{7E40767E-A9D9-49AB-BAFB-739E14B67072}" destId="{7C5FED3A-E28D-4125-BF06-DA342E8CDF24}" srcOrd="1" destOrd="0" presId="urn:microsoft.com/office/officeart/2005/8/layout/lProcess2"/>
    <dgm:cxn modelId="{A7720B7D-1D6D-40D8-B8A1-A4250078EE1E}" type="presOf" srcId="{1ECF4F1B-174B-4F47-8BD0-9A92325428AD}" destId="{115CE754-0A05-44A0-918E-3A0F666A1775}" srcOrd="1" destOrd="0" presId="urn:microsoft.com/office/officeart/2005/8/layout/lProcess2"/>
    <dgm:cxn modelId="{8F15C44A-070A-48E5-86EE-0B847628820E}" srcId="{491BDCD6-046D-4C05-81A0-FB23D5C33164}" destId="{0AFCF317-139A-47D0-8A62-C6D05495AE00}" srcOrd="0" destOrd="0" parTransId="{B9AE5406-BE2F-43C8-89AF-36728A25D313}" sibTransId="{FFD539A6-4667-4A17-8BEF-D1041410939C}"/>
    <dgm:cxn modelId="{E193B167-AE54-4C6D-B9FA-E6F48779EA53}" type="presOf" srcId="{7E40767E-A9D9-49AB-BAFB-739E14B67072}" destId="{D98306B0-562D-430F-BE54-A5E77D727C24}" srcOrd="0" destOrd="0" presId="urn:microsoft.com/office/officeart/2005/8/layout/lProcess2"/>
    <dgm:cxn modelId="{8C0D7279-3A36-49EF-A57E-BF28B45FBEE8}" type="presParOf" srcId="{5CD64163-7819-44D9-BD90-F552707B977C}" destId="{678B9932-80FF-44AF-B024-7B63C2461429}" srcOrd="0" destOrd="0" presId="urn:microsoft.com/office/officeart/2005/8/layout/lProcess2"/>
    <dgm:cxn modelId="{D25787D5-A274-46EA-A615-4BD3299A2A2E}" type="presParOf" srcId="{678B9932-80FF-44AF-B024-7B63C2461429}" destId="{D98306B0-562D-430F-BE54-A5E77D727C24}" srcOrd="0" destOrd="0" presId="urn:microsoft.com/office/officeart/2005/8/layout/lProcess2"/>
    <dgm:cxn modelId="{DCECFB92-6D6D-47E0-822F-BA723509BD4E}" type="presParOf" srcId="{678B9932-80FF-44AF-B024-7B63C2461429}" destId="{7C5FED3A-E28D-4125-BF06-DA342E8CDF24}" srcOrd="1" destOrd="0" presId="urn:microsoft.com/office/officeart/2005/8/layout/lProcess2"/>
    <dgm:cxn modelId="{EACA6D9A-7EB1-4925-804D-AAC77CA19A3C}" type="presParOf" srcId="{678B9932-80FF-44AF-B024-7B63C2461429}" destId="{269C0822-0616-404E-BB0C-02E2070A315D}" srcOrd="2" destOrd="0" presId="urn:microsoft.com/office/officeart/2005/8/layout/lProcess2"/>
    <dgm:cxn modelId="{A0071A8B-2DDE-43A8-88D3-5244494FAE27}" type="presParOf" srcId="{269C0822-0616-404E-BB0C-02E2070A315D}" destId="{7CC0E931-E0C8-441E-9C53-67EC7383B799}" srcOrd="0" destOrd="0" presId="urn:microsoft.com/office/officeart/2005/8/layout/lProcess2"/>
    <dgm:cxn modelId="{5EF56F99-4479-4B1B-9B75-3F424D32B52D}" type="presParOf" srcId="{7CC0E931-E0C8-441E-9C53-67EC7383B799}" destId="{6069B278-1037-47B8-8615-4DA900A8A03A}" srcOrd="0" destOrd="0" presId="urn:microsoft.com/office/officeart/2005/8/layout/lProcess2"/>
    <dgm:cxn modelId="{6B8859F3-7AB8-4433-8658-B44B49EEBFE4}" type="presParOf" srcId="{5CD64163-7819-44D9-BD90-F552707B977C}" destId="{FD44D191-CADE-4B99-8D74-D8E2E6BE880F}" srcOrd="1" destOrd="0" presId="urn:microsoft.com/office/officeart/2005/8/layout/lProcess2"/>
    <dgm:cxn modelId="{952F9BA4-FF56-4D9D-BD21-095516D79DD5}" type="presParOf" srcId="{5CD64163-7819-44D9-BD90-F552707B977C}" destId="{06572426-DBCC-42A0-9602-26EAE80B6E50}" srcOrd="2" destOrd="0" presId="urn:microsoft.com/office/officeart/2005/8/layout/lProcess2"/>
    <dgm:cxn modelId="{1018A1E1-9365-44B0-9751-C5962707C33E}" type="presParOf" srcId="{06572426-DBCC-42A0-9602-26EAE80B6E50}" destId="{1140C5C5-A943-4DE7-95C1-51A09FA5E2EF}" srcOrd="0" destOrd="0" presId="urn:microsoft.com/office/officeart/2005/8/layout/lProcess2"/>
    <dgm:cxn modelId="{B1B0E55A-0626-4B21-A0F2-2870D949D5D7}" type="presParOf" srcId="{06572426-DBCC-42A0-9602-26EAE80B6E50}" destId="{F970C7FA-547C-4E6D-A753-7FCDB868C3B1}" srcOrd="1" destOrd="0" presId="urn:microsoft.com/office/officeart/2005/8/layout/lProcess2"/>
    <dgm:cxn modelId="{1E5BD28E-CD7D-4F51-9A64-067265670C2E}" type="presParOf" srcId="{06572426-DBCC-42A0-9602-26EAE80B6E50}" destId="{3C3D9142-3766-463A-9F3F-EB721DA16C8D}" srcOrd="2" destOrd="0" presId="urn:microsoft.com/office/officeart/2005/8/layout/lProcess2"/>
    <dgm:cxn modelId="{7C50D03C-2DCD-43F2-BCED-1EA57714DAA3}" type="presParOf" srcId="{3C3D9142-3766-463A-9F3F-EB721DA16C8D}" destId="{407DF6FC-D587-46F9-98AC-6FD7E06C43FC}" srcOrd="0" destOrd="0" presId="urn:microsoft.com/office/officeart/2005/8/layout/lProcess2"/>
    <dgm:cxn modelId="{7A5B5310-B7B7-4C66-9895-8E17EE5F6C04}" type="presParOf" srcId="{407DF6FC-D587-46F9-98AC-6FD7E06C43FC}" destId="{8D07745B-BEB1-4416-8188-1328651C8D9D}" srcOrd="0" destOrd="0" presId="urn:microsoft.com/office/officeart/2005/8/layout/lProcess2"/>
    <dgm:cxn modelId="{7068E179-0563-489B-8F96-9919A7D5B263}" type="presParOf" srcId="{5CD64163-7819-44D9-BD90-F552707B977C}" destId="{BD00078F-32B6-45DB-8E5C-67DD0A4DD6F6}" srcOrd="3" destOrd="0" presId="urn:microsoft.com/office/officeart/2005/8/layout/lProcess2"/>
    <dgm:cxn modelId="{E0A33A5F-4501-4C03-87DE-C48DAD90A0F3}" type="presParOf" srcId="{5CD64163-7819-44D9-BD90-F552707B977C}" destId="{2FD70D31-87AF-4C29-A76E-665B9D6E3387}" srcOrd="4" destOrd="0" presId="urn:microsoft.com/office/officeart/2005/8/layout/lProcess2"/>
    <dgm:cxn modelId="{18AFD575-9E8A-4EE1-A671-4303AAC01183}" type="presParOf" srcId="{2FD70D31-87AF-4C29-A76E-665B9D6E3387}" destId="{998F38F0-6D2E-47D0-80CA-6EDCD66E5DFF}" srcOrd="0" destOrd="0" presId="urn:microsoft.com/office/officeart/2005/8/layout/lProcess2"/>
    <dgm:cxn modelId="{7BFFD3FA-CB53-4834-80A6-4809A3228988}" type="presParOf" srcId="{2FD70D31-87AF-4C29-A76E-665B9D6E3387}" destId="{115CE754-0A05-44A0-918E-3A0F666A1775}" srcOrd="1" destOrd="0" presId="urn:microsoft.com/office/officeart/2005/8/layout/lProcess2"/>
    <dgm:cxn modelId="{2B818D16-A192-433C-8942-7FA1D73580EC}" type="presParOf" srcId="{2FD70D31-87AF-4C29-A76E-665B9D6E3387}" destId="{CE42490D-BC1E-4A91-AD57-98AA61221A45}" srcOrd="2" destOrd="0" presId="urn:microsoft.com/office/officeart/2005/8/layout/lProcess2"/>
    <dgm:cxn modelId="{BB5A356C-6751-4BCD-9A30-996BBB8C5155}" type="presParOf" srcId="{CE42490D-BC1E-4A91-AD57-98AA61221A45}" destId="{5E42DB40-3050-496D-8C77-3DFC63845845}" srcOrd="0" destOrd="0" presId="urn:microsoft.com/office/officeart/2005/8/layout/lProcess2"/>
    <dgm:cxn modelId="{F05B0DCC-2742-4253-AF64-516BA5660649}" type="presParOf" srcId="{5E42DB40-3050-496D-8C77-3DFC63845845}" destId="{2F0A890C-D38B-40FA-A00A-529DA683BC2D}" srcOrd="0" destOrd="0" presId="urn:microsoft.com/office/officeart/2005/8/layout/lProcess2"/>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8306B0-562D-430F-BE54-A5E77D727C24}">
      <dsp:nvSpPr>
        <dsp:cNvPr id="0" name=""/>
        <dsp:cNvSpPr/>
      </dsp:nvSpPr>
      <dsp:spPr bwMode="auto">
        <a:xfrm>
          <a:off x="718" y="0"/>
          <a:ext cx="1868258" cy="186690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defRPr/>
          </a:pPr>
          <a:r>
            <a:rPr lang="ru-RU" sz="2400" kern="1200"/>
            <a:t>100%</a:t>
          </a:r>
          <a:endParaRPr kern="1200"/>
        </a:p>
      </dsp:txBody>
      <dsp:txXfrm>
        <a:off x="718" y="0"/>
        <a:ext cx="1868258" cy="560070"/>
      </dsp:txXfrm>
    </dsp:sp>
    <dsp:sp modelId="{6069B278-1037-47B8-8615-4DA900A8A03A}">
      <dsp:nvSpPr>
        <dsp:cNvPr id="0" name=""/>
        <dsp:cNvSpPr/>
      </dsp:nvSpPr>
      <dsp:spPr bwMode="auto">
        <a:xfrm>
          <a:off x="187544" y="560070"/>
          <a:ext cx="1494606" cy="1213485"/>
        </a:xfrm>
        <a:prstGeom prst="roundRect">
          <a:avLst>
            <a:gd name="adj" fmla="val 10000"/>
          </a:avLst>
        </a:prstGeom>
        <a:solidFill>
          <a:schemeClr val="accent3"/>
        </a:solidFill>
        <a:ln w="12700" cap="flat" cmpd="sng" algn="ctr">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ct val="90000"/>
            </a:lnSpc>
            <a:spcBef>
              <a:spcPct val="0"/>
            </a:spcBef>
            <a:spcAft>
              <a:spcPct val="35000"/>
            </a:spcAft>
            <a:defRPr/>
          </a:pPr>
          <a:r>
            <a:rPr lang="ru-RU" sz="1100" kern="1200"/>
            <a:t>Посещаемость заседаний Комитета Совета директоров по стратегии, инвестициям и устойчивому развитию</a:t>
          </a:r>
          <a:endParaRPr sz="1100" kern="1200"/>
        </a:p>
      </dsp:txBody>
      <dsp:txXfrm>
        <a:off x="223086" y="595612"/>
        <a:ext cx="1423522" cy="1142401"/>
      </dsp:txXfrm>
    </dsp:sp>
    <dsp:sp modelId="{1140C5C5-A943-4DE7-95C1-51A09FA5E2EF}">
      <dsp:nvSpPr>
        <dsp:cNvPr id="0" name=""/>
        <dsp:cNvSpPr/>
      </dsp:nvSpPr>
      <dsp:spPr bwMode="auto">
        <a:xfrm>
          <a:off x="2009095" y="0"/>
          <a:ext cx="1868258" cy="186690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defRPr/>
          </a:pPr>
          <a:r>
            <a:rPr lang="ru-RU" sz="2400" kern="1200"/>
            <a:t>100%</a:t>
          </a:r>
          <a:endParaRPr kern="1200"/>
        </a:p>
      </dsp:txBody>
      <dsp:txXfrm>
        <a:off x="2009095" y="0"/>
        <a:ext cx="1868258" cy="560070"/>
      </dsp:txXfrm>
    </dsp:sp>
    <dsp:sp modelId="{8D07745B-BEB1-4416-8188-1328651C8D9D}">
      <dsp:nvSpPr>
        <dsp:cNvPr id="0" name=""/>
        <dsp:cNvSpPr/>
      </dsp:nvSpPr>
      <dsp:spPr bwMode="auto">
        <a:xfrm>
          <a:off x="2195921" y="560070"/>
          <a:ext cx="1494606" cy="1213485"/>
        </a:xfrm>
        <a:prstGeom prst="roundRect">
          <a:avLst>
            <a:gd name="adj" fmla="val 10000"/>
          </a:avLst>
        </a:prstGeom>
        <a:solidFill>
          <a:schemeClr val="accent1">
            <a:hueOff val="0"/>
            <a:satOff val="0"/>
            <a:lumOff val="0"/>
            <a:alphaOff val="0"/>
          </a:schemeClr>
        </a:solidFill>
        <a:ln w="12700" cap="flat" cmpd="sng" algn="ctr">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ct val="90000"/>
            </a:lnSpc>
            <a:spcBef>
              <a:spcPct val="0"/>
            </a:spcBef>
            <a:spcAft>
              <a:spcPct val="35000"/>
            </a:spcAft>
            <a:defRPr/>
          </a:pPr>
          <a:r>
            <a:rPr lang="ru-RU" sz="1100" kern="1200"/>
            <a:t>Посещаемость заседаний Комитета Совета директоров по кадрам и вознаграждениям</a:t>
          </a:r>
          <a:endParaRPr sz="1100" kern="1200"/>
        </a:p>
      </dsp:txBody>
      <dsp:txXfrm>
        <a:off x="2231463" y="595612"/>
        <a:ext cx="1423522" cy="1142401"/>
      </dsp:txXfrm>
    </dsp:sp>
    <dsp:sp modelId="{998F38F0-6D2E-47D0-80CA-6EDCD66E5DFF}">
      <dsp:nvSpPr>
        <dsp:cNvPr id="0" name=""/>
        <dsp:cNvSpPr/>
      </dsp:nvSpPr>
      <dsp:spPr bwMode="auto">
        <a:xfrm>
          <a:off x="4017473" y="0"/>
          <a:ext cx="1868258" cy="186690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defRPr/>
          </a:pPr>
          <a:r>
            <a:rPr lang="ru-RU" sz="2400" kern="1200"/>
            <a:t>100%</a:t>
          </a:r>
          <a:endParaRPr kern="1200"/>
        </a:p>
      </dsp:txBody>
      <dsp:txXfrm>
        <a:off x="4017473" y="0"/>
        <a:ext cx="1868258" cy="560070"/>
      </dsp:txXfrm>
    </dsp:sp>
    <dsp:sp modelId="{2F0A890C-D38B-40FA-A00A-529DA683BC2D}">
      <dsp:nvSpPr>
        <dsp:cNvPr id="0" name=""/>
        <dsp:cNvSpPr/>
      </dsp:nvSpPr>
      <dsp:spPr bwMode="auto">
        <a:xfrm>
          <a:off x="4204299" y="560070"/>
          <a:ext cx="1494606" cy="1213485"/>
        </a:xfrm>
        <a:prstGeom prst="roundRect">
          <a:avLst>
            <a:gd name="adj" fmla="val 10000"/>
          </a:avLst>
        </a:prstGeom>
        <a:solidFill>
          <a:schemeClr val="accent2">
            <a:lumMod val="60000"/>
            <a:lumOff val="40000"/>
          </a:schemeClr>
        </a:solidFill>
        <a:ln w="12700" cap="flat" cmpd="sng" algn="ctr">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ct val="90000"/>
            </a:lnSpc>
            <a:spcBef>
              <a:spcPct val="0"/>
            </a:spcBef>
            <a:spcAft>
              <a:spcPct val="35000"/>
            </a:spcAft>
            <a:defRPr/>
          </a:pPr>
          <a:r>
            <a:rPr lang="ru-RU" sz="1100" kern="1200"/>
            <a:t>Посещаемость заседаний Комитета Совета директоров по аудиту</a:t>
          </a:r>
          <a:endParaRPr sz="1100" kern="1200"/>
        </a:p>
      </dsp:txBody>
      <dsp:txXfrm>
        <a:off x="4239841" y="595612"/>
        <a:ext cx="1423522" cy="1142401"/>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DD8D00-660F-415F-9CF8-AE3F034670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83</Pages>
  <Words>24538</Words>
  <Characters>139873</Characters>
  <Application>Microsoft Office Word</Application>
  <DocSecurity>0</DocSecurity>
  <Lines>1165</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Охрин Эрмен</dc:creator>
  <dc:description/>
  <cp:lastModifiedBy>Шаркова Анастасия Владимировна</cp:lastModifiedBy>
  <cp:revision>3</cp:revision>
  <dcterms:created xsi:type="dcterms:W3CDTF">2024-05-28T10:57:00Z</dcterms:created>
  <dcterms:modified xsi:type="dcterms:W3CDTF">2024-05-28T11:43:00Z</dcterms:modified>
  <dc:language>ru-RU</dc:language>
</cp:coreProperties>
</file>